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16F39" w14:textId="072EB8B2" w:rsidR="004D7B27" w:rsidRPr="00BF318E" w:rsidRDefault="00E52A6D" w:rsidP="00B11776">
      <w:pPr>
        <w:spacing w:after="0" w:line="240" w:lineRule="auto"/>
        <w:jc w:val="center"/>
        <w:rPr>
          <w:rFonts w:ascii="Trebuchet MS" w:eastAsia="Times New Roman" w:hAnsi="Trebuchet MS"/>
          <w:b/>
          <w:sz w:val="20"/>
          <w:szCs w:val="20"/>
        </w:rPr>
      </w:pPr>
      <w:r w:rsidRPr="00BF318E">
        <w:rPr>
          <w:rFonts w:ascii="Trebuchet MS" w:eastAsia="Times New Roman" w:hAnsi="Trebuchet MS"/>
          <w:b/>
          <w:sz w:val="20"/>
          <w:szCs w:val="20"/>
        </w:rPr>
        <w:t>Getting Britain going again</w:t>
      </w:r>
    </w:p>
    <w:p w14:paraId="43A19E58" w14:textId="77777777" w:rsidR="003C0DD3" w:rsidRDefault="003C0DD3" w:rsidP="00D8347A">
      <w:pPr>
        <w:spacing w:after="0" w:line="240" w:lineRule="auto"/>
        <w:jc w:val="both"/>
        <w:rPr>
          <w:rFonts w:ascii="Trebuchet MS" w:eastAsia="Times New Roman" w:hAnsi="Trebuchet MS"/>
          <w:sz w:val="20"/>
          <w:szCs w:val="20"/>
        </w:rPr>
      </w:pPr>
    </w:p>
    <w:p w14:paraId="17A076CE" w14:textId="77777777" w:rsidR="00BD4D65" w:rsidRPr="00BF318E" w:rsidRDefault="00BD4D65" w:rsidP="00D8347A">
      <w:pPr>
        <w:spacing w:after="0" w:line="240" w:lineRule="auto"/>
        <w:jc w:val="both"/>
        <w:rPr>
          <w:rFonts w:ascii="Trebuchet MS" w:eastAsia="Times New Roman" w:hAnsi="Trebuchet MS"/>
          <w:sz w:val="20"/>
          <w:szCs w:val="20"/>
        </w:rPr>
      </w:pPr>
    </w:p>
    <w:p w14:paraId="5DEB88E1" w14:textId="77777777" w:rsidR="00841558" w:rsidRPr="00BF318E" w:rsidRDefault="00841558" w:rsidP="00D8347A">
      <w:pPr>
        <w:spacing w:after="0" w:line="240" w:lineRule="auto"/>
        <w:jc w:val="both"/>
        <w:rPr>
          <w:rFonts w:ascii="Trebuchet MS" w:eastAsia="Times New Roman" w:hAnsi="Trebuchet MS" w:cs="Calibri"/>
          <w:b/>
          <w:bCs/>
          <w:color w:val="000000"/>
          <w:sz w:val="20"/>
          <w:szCs w:val="20"/>
          <w:lang w:eastAsia="en-US"/>
        </w:rPr>
      </w:pPr>
      <w:r w:rsidRPr="00BF318E">
        <w:rPr>
          <w:rFonts w:ascii="Trebuchet MS" w:eastAsia="Times New Roman" w:hAnsi="Trebuchet MS" w:cs="Calibri"/>
          <w:b/>
          <w:bCs/>
          <w:color w:val="000000"/>
          <w:sz w:val="20"/>
          <w:szCs w:val="20"/>
          <w:lang w:eastAsia="en-US"/>
        </w:rPr>
        <w:t>Overview</w:t>
      </w:r>
    </w:p>
    <w:p w14:paraId="1EFD6425" w14:textId="303E44C9" w:rsidR="004E240C" w:rsidRPr="00BF318E" w:rsidRDefault="004E240C" w:rsidP="00D8347A">
      <w:pPr>
        <w:spacing w:after="0" w:line="240" w:lineRule="auto"/>
        <w:jc w:val="both"/>
        <w:rPr>
          <w:rFonts w:ascii="Trebuchet MS" w:eastAsia="Times New Roman" w:hAnsi="Trebuchet MS" w:cs="Calibri"/>
          <w:color w:val="000000"/>
          <w:sz w:val="20"/>
          <w:szCs w:val="20"/>
          <w:lang w:eastAsia="en-US"/>
        </w:rPr>
      </w:pPr>
    </w:p>
    <w:p w14:paraId="26D6952C" w14:textId="7186B137" w:rsidR="00531CB0" w:rsidRPr="00BF318E" w:rsidRDefault="00016056" w:rsidP="00D8347A">
      <w:p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The crisis has highlighted the importance of support services not only as major employers themselves but to the whole economy</w:t>
      </w:r>
      <w:r w:rsidR="00660470" w:rsidRPr="00BF318E">
        <w:rPr>
          <w:rFonts w:ascii="Trebuchet MS" w:eastAsia="Times New Roman" w:hAnsi="Trebuchet MS" w:cs="Calibri"/>
          <w:color w:val="000000"/>
          <w:sz w:val="20"/>
          <w:szCs w:val="20"/>
          <w:lang w:eastAsia="en-US"/>
        </w:rPr>
        <w:t xml:space="preserve">, and as a </w:t>
      </w:r>
      <w:r w:rsidR="00C90003" w:rsidRPr="00BF318E">
        <w:rPr>
          <w:rFonts w:ascii="Trebuchet MS" w:eastAsia="Times New Roman" w:hAnsi="Trebuchet MS" w:cs="Calibri"/>
          <w:color w:val="000000"/>
          <w:sz w:val="20"/>
          <w:szCs w:val="20"/>
          <w:lang w:eastAsia="en-US"/>
        </w:rPr>
        <w:t>key part of the response to Covid-19</w:t>
      </w:r>
      <w:r w:rsidRPr="00BF318E">
        <w:rPr>
          <w:rFonts w:ascii="Trebuchet MS" w:eastAsia="Times New Roman" w:hAnsi="Trebuchet MS" w:cs="Calibri"/>
          <w:color w:val="000000"/>
          <w:sz w:val="20"/>
          <w:szCs w:val="20"/>
          <w:lang w:eastAsia="en-US"/>
        </w:rPr>
        <w:t>.</w:t>
      </w:r>
      <w:r w:rsidR="00C90003" w:rsidRPr="00BF318E">
        <w:rPr>
          <w:rFonts w:ascii="Trebuchet MS" w:eastAsia="Times New Roman" w:hAnsi="Trebuchet MS" w:cs="Calibri"/>
          <w:color w:val="000000"/>
          <w:sz w:val="20"/>
          <w:szCs w:val="20"/>
          <w:lang w:eastAsia="en-US"/>
        </w:rPr>
        <w:t xml:space="preserve"> They have, for example, been an inextricable part of keeping hospitals operating during the crisis</w:t>
      </w:r>
      <w:r w:rsidR="00C80A05">
        <w:rPr>
          <w:rFonts w:ascii="Trebuchet MS" w:eastAsia="Times New Roman" w:hAnsi="Trebuchet MS" w:cs="Calibri"/>
          <w:color w:val="000000"/>
          <w:sz w:val="20"/>
          <w:szCs w:val="20"/>
          <w:lang w:eastAsia="en-US"/>
        </w:rPr>
        <w:t xml:space="preserve">. </w:t>
      </w:r>
      <w:r w:rsidR="008C21C5" w:rsidRPr="00BF318E">
        <w:rPr>
          <w:rFonts w:ascii="Trebuchet MS" w:eastAsia="Times New Roman" w:hAnsi="Trebuchet MS" w:cs="Calibri"/>
          <w:color w:val="000000"/>
          <w:sz w:val="20"/>
          <w:szCs w:val="20"/>
          <w:lang w:eastAsia="en-US"/>
        </w:rPr>
        <w:t>Unless services such as cleaning, catering, security and asset ma</w:t>
      </w:r>
      <w:r w:rsidR="00AC73E3" w:rsidRPr="00BF318E">
        <w:rPr>
          <w:rFonts w:ascii="Trebuchet MS" w:eastAsia="Times New Roman" w:hAnsi="Trebuchet MS" w:cs="Calibri"/>
          <w:color w:val="000000"/>
          <w:sz w:val="20"/>
          <w:szCs w:val="20"/>
          <w:lang w:eastAsia="en-US"/>
        </w:rPr>
        <w:t>intenance service</w:t>
      </w:r>
      <w:r w:rsidR="00CC4D7C">
        <w:rPr>
          <w:rFonts w:ascii="Trebuchet MS" w:eastAsia="Times New Roman" w:hAnsi="Trebuchet MS" w:cs="Calibri"/>
          <w:color w:val="000000"/>
          <w:sz w:val="20"/>
          <w:szCs w:val="20"/>
          <w:lang w:eastAsia="en-US"/>
        </w:rPr>
        <w:t>s</w:t>
      </w:r>
      <w:r w:rsidR="00AC73E3" w:rsidRPr="00BF318E">
        <w:rPr>
          <w:rFonts w:ascii="Trebuchet MS" w:eastAsia="Times New Roman" w:hAnsi="Trebuchet MS" w:cs="Calibri"/>
          <w:color w:val="000000"/>
          <w:sz w:val="20"/>
          <w:szCs w:val="20"/>
          <w:lang w:eastAsia="en-US"/>
        </w:rPr>
        <w:t xml:space="preserve"> are </w:t>
      </w:r>
      <w:r w:rsidRPr="00BF318E">
        <w:rPr>
          <w:rFonts w:ascii="Trebuchet MS" w:eastAsia="Times New Roman" w:hAnsi="Trebuchet MS" w:cs="Calibri"/>
          <w:color w:val="000000"/>
          <w:sz w:val="20"/>
          <w:szCs w:val="20"/>
          <w:lang w:eastAsia="en-US"/>
        </w:rPr>
        <w:t>available</w:t>
      </w:r>
      <w:r w:rsidR="004416A1" w:rsidRPr="00BF318E">
        <w:rPr>
          <w:rFonts w:ascii="Trebuchet MS" w:eastAsia="Times New Roman" w:hAnsi="Trebuchet MS" w:cs="Calibri"/>
          <w:color w:val="000000"/>
          <w:sz w:val="20"/>
          <w:szCs w:val="20"/>
          <w:lang w:eastAsia="en-US"/>
        </w:rPr>
        <w:t xml:space="preserve"> in advance or tandem</w:t>
      </w:r>
      <w:r w:rsidR="00764F71" w:rsidRPr="00BF318E">
        <w:rPr>
          <w:rFonts w:ascii="Trebuchet MS" w:eastAsia="Times New Roman" w:hAnsi="Trebuchet MS" w:cs="Calibri"/>
          <w:color w:val="000000"/>
          <w:sz w:val="20"/>
          <w:szCs w:val="20"/>
          <w:lang w:eastAsia="en-US"/>
        </w:rPr>
        <w:t xml:space="preserve"> with organisations restarting across the country,</w:t>
      </w:r>
      <w:r w:rsidRPr="00BF318E">
        <w:rPr>
          <w:rFonts w:ascii="Trebuchet MS" w:eastAsia="Times New Roman" w:hAnsi="Trebuchet MS" w:cs="Calibri"/>
          <w:color w:val="000000"/>
          <w:sz w:val="20"/>
          <w:szCs w:val="20"/>
          <w:lang w:eastAsia="en-US"/>
        </w:rPr>
        <w:t xml:space="preserve"> other sectors will be unable to return to work</w:t>
      </w:r>
      <w:r w:rsidR="000E5348" w:rsidRPr="00BF318E">
        <w:rPr>
          <w:rFonts w:ascii="Trebuchet MS" w:eastAsia="Times New Roman" w:hAnsi="Trebuchet MS" w:cs="Calibri"/>
          <w:color w:val="000000"/>
          <w:sz w:val="20"/>
          <w:szCs w:val="20"/>
          <w:lang w:eastAsia="en-US"/>
        </w:rPr>
        <w:t xml:space="preserve"> and the economic impact will be prolonged</w:t>
      </w:r>
      <w:r w:rsidRPr="00BF318E">
        <w:rPr>
          <w:rFonts w:ascii="Trebuchet MS" w:eastAsia="Times New Roman" w:hAnsi="Trebuchet MS" w:cs="Calibri"/>
          <w:color w:val="000000"/>
          <w:sz w:val="20"/>
          <w:szCs w:val="20"/>
          <w:lang w:eastAsia="en-US"/>
        </w:rPr>
        <w:t xml:space="preserve">. </w:t>
      </w:r>
      <w:r w:rsidR="000F6382">
        <w:rPr>
          <w:rFonts w:ascii="Trebuchet MS" w:eastAsia="Times New Roman" w:hAnsi="Trebuchet MS" w:cs="Calibri"/>
          <w:color w:val="000000"/>
          <w:sz w:val="20"/>
          <w:szCs w:val="20"/>
          <w:lang w:eastAsia="en-US"/>
        </w:rPr>
        <w:t xml:space="preserve">The sector </w:t>
      </w:r>
      <w:r w:rsidR="009D7757">
        <w:rPr>
          <w:rFonts w:ascii="Trebuchet MS" w:eastAsia="Times New Roman" w:hAnsi="Trebuchet MS" w:cs="Calibri"/>
          <w:color w:val="000000"/>
          <w:sz w:val="20"/>
          <w:szCs w:val="20"/>
          <w:lang w:eastAsia="en-US"/>
        </w:rPr>
        <w:t xml:space="preserve">is </w:t>
      </w:r>
      <w:r w:rsidR="000F6382">
        <w:rPr>
          <w:rFonts w:ascii="Trebuchet MS" w:eastAsia="Times New Roman" w:hAnsi="Trebuchet MS" w:cs="Calibri"/>
          <w:color w:val="000000"/>
          <w:sz w:val="20"/>
          <w:szCs w:val="20"/>
          <w:lang w:eastAsia="en-US"/>
        </w:rPr>
        <w:t>also a vital enabler in the UK’s economic recovery.</w:t>
      </w:r>
      <w:r w:rsidR="009D7757">
        <w:rPr>
          <w:rFonts w:ascii="Trebuchet MS" w:eastAsia="Times New Roman" w:hAnsi="Trebuchet MS" w:cs="Calibri"/>
          <w:color w:val="000000"/>
          <w:sz w:val="20"/>
          <w:szCs w:val="20"/>
          <w:lang w:eastAsia="en-US"/>
        </w:rPr>
        <w:t xml:space="preserve"> It employs 1 in 10 of the workforce and </w:t>
      </w:r>
      <w:r w:rsidR="00F9493D">
        <w:rPr>
          <w:rFonts w:ascii="Trebuchet MS" w:eastAsia="Times New Roman" w:hAnsi="Trebuchet MS" w:cs="Calibri"/>
          <w:color w:val="000000"/>
          <w:sz w:val="20"/>
          <w:szCs w:val="20"/>
          <w:lang w:eastAsia="en-US"/>
        </w:rPr>
        <w:t>c</w:t>
      </w:r>
      <w:r w:rsidR="00A5573C">
        <w:rPr>
          <w:rFonts w:ascii="Trebuchet MS" w:eastAsia="Times New Roman" w:hAnsi="Trebuchet MS" w:cs="Calibri"/>
          <w:color w:val="000000"/>
          <w:sz w:val="20"/>
          <w:szCs w:val="20"/>
          <w:lang w:eastAsia="en-US"/>
        </w:rPr>
        <w:t>ontributes</w:t>
      </w:r>
      <w:r w:rsidR="00F9493D">
        <w:rPr>
          <w:rFonts w:ascii="Trebuchet MS" w:eastAsia="Times New Roman" w:hAnsi="Trebuchet MS" w:cs="Calibri"/>
          <w:color w:val="000000"/>
          <w:sz w:val="20"/>
          <w:szCs w:val="20"/>
          <w:lang w:eastAsia="en-US"/>
        </w:rPr>
        <w:t xml:space="preserve"> 8</w:t>
      </w:r>
      <w:r w:rsidR="006E32AB">
        <w:rPr>
          <w:rFonts w:ascii="Trebuchet MS" w:eastAsia="Times New Roman" w:hAnsi="Trebuchet MS" w:cs="Calibri"/>
          <w:color w:val="000000"/>
          <w:sz w:val="20"/>
          <w:szCs w:val="20"/>
          <w:lang w:eastAsia="en-US"/>
        </w:rPr>
        <w:t xml:space="preserve">% of the national </w:t>
      </w:r>
      <w:r w:rsidR="00A5573C">
        <w:rPr>
          <w:rFonts w:ascii="Trebuchet MS" w:eastAsia="Times New Roman" w:hAnsi="Trebuchet MS" w:cs="Calibri"/>
          <w:color w:val="000000"/>
          <w:sz w:val="20"/>
          <w:szCs w:val="20"/>
          <w:lang w:eastAsia="en-US"/>
        </w:rPr>
        <w:t>output.</w:t>
      </w:r>
    </w:p>
    <w:p w14:paraId="28A9479D" w14:textId="77777777" w:rsidR="00B07FF7" w:rsidRPr="00BF318E" w:rsidRDefault="00B07FF7" w:rsidP="00D8347A">
      <w:pPr>
        <w:spacing w:after="0" w:line="240" w:lineRule="auto"/>
        <w:jc w:val="both"/>
        <w:rPr>
          <w:rFonts w:ascii="Trebuchet MS" w:eastAsia="Times New Roman" w:hAnsi="Trebuchet MS" w:cs="Calibri"/>
          <w:color w:val="000000"/>
          <w:sz w:val="20"/>
          <w:szCs w:val="20"/>
          <w:lang w:eastAsia="en-US"/>
        </w:rPr>
      </w:pPr>
    </w:p>
    <w:p w14:paraId="790F1CB5" w14:textId="4D557536" w:rsidR="00CB0548" w:rsidRPr="00BF318E" w:rsidRDefault="00CB0548" w:rsidP="00D8347A">
      <w:p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BSA members can support the </w:t>
      </w:r>
      <w:r w:rsidR="00992DF5">
        <w:rPr>
          <w:rFonts w:ascii="Trebuchet MS" w:eastAsia="Times New Roman" w:hAnsi="Trebuchet MS" w:cs="Calibri"/>
          <w:color w:val="000000"/>
          <w:sz w:val="20"/>
          <w:szCs w:val="20"/>
          <w:lang w:eastAsia="en-US"/>
        </w:rPr>
        <w:t>G</w:t>
      </w:r>
      <w:r w:rsidRPr="00BF318E">
        <w:rPr>
          <w:rFonts w:ascii="Trebuchet MS" w:eastAsia="Times New Roman" w:hAnsi="Trebuchet MS" w:cs="Calibri"/>
          <w:color w:val="000000"/>
          <w:sz w:val="20"/>
          <w:szCs w:val="20"/>
          <w:lang w:eastAsia="en-US"/>
        </w:rPr>
        <w:t>overnment in numerous ways as it orchestrates the reopening of the economy</w:t>
      </w:r>
      <w:r w:rsidR="0010625D">
        <w:rPr>
          <w:rFonts w:ascii="Trebuchet MS" w:eastAsia="Times New Roman" w:hAnsi="Trebuchet MS" w:cs="Calibri"/>
          <w:color w:val="000000"/>
          <w:sz w:val="20"/>
          <w:szCs w:val="20"/>
          <w:lang w:eastAsia="en-US"/>
        </w:rPr>
        <w:t xml:space="preserve"> and winds down its support</w:t>
      </w:r>
      <w:r w:rsidR="00541F75">
        <w:rPr>
          <w:rFonts w:ascii="Trebuchet MS" w:eastAsia="Times New Roman" w:hAnsi="Trebuchet MS" w:cs="Calibri"/>
          <w:color w:val="000000"/>
          <w:sz w:val="20"/>
          <w:szCs w:val="20"/>
          <w:lang w:eastAsia="en-US"/>
        </w:rPr>
        <w:t>:</w:t>
      </w:r>
    </w:p>
    <w:p w14:paraId="1F95C277" w14:textId="77777777" w:rsidR="00EB27DD" w:rsidRPr="00BF318E" w:rsidRDefault="00EB27DD" w:rsidP="00D8347A">
      <w:pPr>
        <w:spacing w:after="0" w:line="240" w:lineRule="auto"/>
        <w:jc w:val="both"/>
        <w:rPr>
          <w:rFonts w:ascii="Trebuchet MS" w:eastAsia="Times New Roman" w:hAnsi="Trebuchet MS" w:cs="Calibri"/>
          <w:color w:val="000000"/>
          <w:sz w:val="20"/>
          <w:szCs w:val="20"/>
          <w:lang w:eastAsia="en-US"/>
        </w:rPr>
      </w:pPr>
    </w:p>
    <w:p w14:paraId="53CD4776" w14:textId="7BDFFECA" w:rsidR="00CB0548" w:rsidRPr="00BF318E" w:rsidRDefault="00CB0548" w:rsidP="00D8347A">
      <w:pPr>
        <w:pStyle w:val="ListParagraph"/>
        <w:numPr>
          <w:ilvl w:val="0"/>
          <w:numId w:val="20"/>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Manage resources / activities peaks – Both the </w:t>
      </w:r>
      <w:r w:rsidR="00E23FB2">
        <w:rPr>
          <w:rFonts w:ascii="Trebuchet MS" w:eastAsia="Times New Roman" w:hAnsi="Trebuchet MS" w:cs="Calibri"/>
          <w:color w:val="000000"/>
          <w:sz w:val="20"/>
          <w:szCs w:val="20"/>
          <w:lang w:eastAsia="en-US"/>
        </w:rPr>
        <w:t>N</w:t>
      </w:r>
      <w:r w:rsidRPr="00BF318E">
        <w:rPr>
          <w:rFonts w:ascii="Trebuchet MS" w:eastAsia="Times New Roman" w:hAnsi="Trebuchet MS" w:cs="Calibri"/>
          <w:color w:val="000000"/>
          <w:sz w:val="20"/>
          <w:szCs w:val="20"/>
          <w:lang w:eastAsia="en-US"/>
        </w:rPr>
        <w:t>ightingale hospitals and test centres implementations are great examples of the speed and flexibility in which BSA members supported government initiatives working in a tight partnership. Applying this approach across all parts of the economy would accelerate the reopening and ensure that it happened smoothly.</w:t>
      </w:r>
    </w:p>
    <w:p w14:paraId="053B4F84" w14:textId="77777777" w:rsidR="00CB0548" w:rsidRPr="00BF318E" w:rsidRDefault="00CB0548" w:rsidP="00D8347A">
      <w:pPr>
        <w:pStyle w:val="ListParagraph"/>
        <w:numPr>
          <w:ilvl w:val="0"/>
          <w:numId w:val="20"/>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Planning, coordinating and execution – BSA members have a very deep expertise in planning and executing complex programmes (e.g. implementing national contract mobilisations). Using these programme planning and execution skills could support Governments as it coordinates the massive task of reopening the economy.</w:t>
      </w:r>
    </w:p>
    <w:p w14:paraId="4F661FAB" w14:textId="77777777" w:rsidR="00CB0548" w:rsidRPr="00BF318E" w:rsidRDefault="00CB0548" w:rsidP="00D8347A">
      <w:pPr>
        <w:pStyle w:val="ListParagraph"/>
        <w:numPr>
          <w:ilvl w:val="0"/>
          <w:numId w:val="20"/>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Applying our sector and capability expertise – BSA members support and work in all sectors of the economy. We have deep insights and operating experience that can help inform the planning of the reopening of all sectors in the economy.</w:t>
      </w:r>
    </w:p>
    <w:p w14:paraId="1BD9BD1D" w14:textId="5AB46F58" w:rsidR="00CB0548" w:rsidRPr="00BF318E" w:rsidRDefault="00CB0548" w:rsidP="00D8347A">
      <w:pPr>
        <w:pStyle w:val="ListParagraph"/>
        <w:numPr>
          <w:ilvl w:val="0"/>
          <w:numId w:val="20"/>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Deploying technology to ease the transition to the ‘</w:t>
      </w:r>
      <w:r w:rsidR="00C86B1C">
        <w:rPr>
          <w:rFonts w:ascii="Trebuchet MS" w:eastAsia="Times New Roman" w:hAnsi="Trebuchet MS" w:cs="Calibri"/>
          <w:color w:val="000000"/>
          <w:sz w:val="20"/>
          <w:szCs w:val="20"/>
          <w:lang w:eastAsia="en-US"/>
        </w:rPr>
        <w:t>n</w:t>
      </w:r>
      <w:r w:rsidRPr="00BF318E">
        <w:rPr>
          <w:rFonts w:ascii="Trebuchet MS" w:eastAsia="Times New Roman" w:hAnsi="Trebuchet MS" w:cs="Calibri"/>
          <w:color w:val="000000"/>
          <w:sz w:val="20"/>
          <w:szCs w:val="20"/>
          <w:lang w:eastAsia="en-US"/>
        </w:rPr>
        <w:t>ew normal’ and future proofing facilities. BSA members have developed technology services that can help to reset business and employee work environments. Examples include remote monitoring, intelligence gathering and communication, workplace sensors and consumer workspace apps.</w:t>
      </w:r>
    </w:p>
    <w:p w14:paraId="6FD17E54" w14:textId="0E7233CD" w:rsidR="00442B28" w:rsidRDefault="00442B28" w:rsidP="00D8347A">
      <w:pPr>
        <w:spacing w:after="0" w:line="240" w:lineRule="auto"/>
        <w:jc w:val="both"/>
        <w:rPr>
          <w:rFonts w:ascii="Trebuchet MS" w:eastAsia="Times New Roman" w:hAnsi="Trebuchet MS" w:cs="Calibri"/>
          <w:b/>
          <w:bCs/>
          <w:color w:val="000000"/>
          <w:sz w:val="20"/>
          <w:szCs w:val="20"/>
          <w:lang w:eastAsia="en-US"/>
        </w:rPr>
      </w:pPr>
    </w:p>
    <w:p w14:paraId="4E39FBDD" w14:textId="7A3F9399" w:rsidR="000D675D" w:rsidRDefault="000D675D" w:rsidP="00D8347A">
      <w:pPr>
        <w:spacing w:after="0" w:line="240" w:lineRule="auto"/>
        <w:jc w:val="both"/>
        <w:rPr>
          <w:rFonts w:ascii="Trebuchet MS" w:eastAsia="Times New Roman" w:hAnsi="Trebuchet MS" w:cs="Calibri"/>
          <w:bCs/>
          <w:color w:val="000000"/>
          <w:sz w:val="20"/>
          <w:szCs w:val="20"/>
          <w:lang w:eastAsia="en-US"/>
        </w:rPr>
      </w:pPr>
      <w:r>
        <w:rPr>
          <w:rFonts w:ascii="Trebuchet MS" w:eastAsia="Times New Roman" w:hAnsi="Trebuchet MS" w:cs="Calibri"/>
          <w:bCs/>
          <w:color w:val="000000"/>
          <w:sz w:val="20"/>
          <w:szCs w:val="20"/>
          <w:lang w:eastAsia="en-US"/>
        </w:rPr>
        <w:t xml:space="preserve">This document sets out </w:t>
      </w:r>
      <w:r w:rsidR="00F86DEF">
        <w:rPr>
          <w:rFonts w:ascii="Trebuchet MS" w:eastAsia="Times New Roman" w:hAnsi="Trebuchet MS" w:cs="Calibri"/>
          <w:bCs/>
          <w:color w:val="000000"/>
          <w:sz w:val="20"/>
          <w:szCs w:val="20"/>
          <w:lang w:eastAsia="en-US"/>
        </w:rPr>
        <w:t xml:space="preserve">the challenges and opportunities BSA members </w:t>
      </w:r>
      <w:r w:rsidR="00D62113">
        <w:rPr>
          <w:rFonts w:ascii="Trebuchet MS" w:eastAsia="Times New Roman" w:hAnsi="Trebuchet MS" w:cs="Calibri"/>
          <w:bCs/>
          <w:color w:val="000000"/>
          <w:sz w:val="20"/>
          <w:szCs w:val="20"/>
          <w:lang w:eastAsia="en-US"/>
        </w:rPr>
        <w:t>have identified</w:t>
      </w:r>
      <w:r w:rsidR="006C4B2C">
        <w:rPr>
          <w:rFonts w:ascii="Trebuchet MS" w:eastAsia="Times New Roman" w:hAnsi="Trebuchet MS" w:cs="Calibri"/>
          <w:bCs/>
          <w:color w:val="000000"/>
          <w:sz w:val="20"/>
          <w:szCs w:val="20"/>
          <w:lang w:eastAsia="en-US"/>
        </w:rPr>
        <w:t>,</w:t>
      </w:r>
      <w:r w:rsidR="005A1594">
        <w:rPr>
          <w:rFonts w:ascii="Trebuchet MS" w:eastAsia="Times New Roman" w:hAnsi="Trebuchet MS" w:cs="Calibri"/>
          <w:bCs/>
          <w:color w:val="000000"/>
          <w:sz w:val="20"/>
          <w:szCs w:val="20"/>
          <w:lang w:eastAsia="en-US"/>
        </w:rPr>
        <w:t xml:space="preserve"> in the short term and medium term</w:t>
      </w:r>
      <w:r w:rsidR="006C4B2C">
        <w:rPr>
          <w:rFonts w:ascii="Trebuchet MS" w:eastAsia="Times New Roman" w:hAnsi="Trebuchet MS" w:cs="Calibri"/>
          <w:bCs/>
          <w:color w:val="000000"/>
          <w:sz w:val="20"/>
          <w:szCs w:val="20"/>
          <w:lang w:eastAsia="en-US"/>
        </w:rPr>
        <w:t>,</w:t>
      </w:r>
      <w:r w:rsidR="005A1594">
        <w:rPr>
          <w:rFonts w:ascii="Trebuchet MS" w:eastAsia="Times New Roman" w:hAnsi="Trebuchet MS" w:cs="Calibri"/>
          <w:bCs/>
          <w:color w:val="000000"/>
          <w:sz w:val="20"/>
          <w:szCs w:val="20"/>
          <w:lang w:eastAsia="en-US"/>
        </w:rPr>
        <w:t xml:space="preserve"> as the economy sets out on its recovery journey.  </w:t>
      </w:r>
      <w:r w:rsidR="00D62113">
        <w:rPr>
          <w:rFonts w:ascii="Trebuchet MS" w:eastAsia="Times New Roman" w:hAnsi="Trebuchet MS" w:cs="Calibri"/>
          <w:bCs/>
          <w:color w:val="000000"/>
          <w:sz w:val="20"/>
          <w:szCs w:val="20"/>
          <w:lang w:eastAsia="en-US"/>
        </w:rPr>
        <w:t xml:space="preserve"> </w:t>
      </w:r>
    </w:p>
    <w:p w14:paraId="0BEFCDB2" w14:textId="77777777" w:rsidR="000D675D" w:rsidRPr="000D675D" w:rsidRDefault="000D675D" w:rsidP="00D8347A">
      <w:pPr>
        <w:spacing w:after="0" w:line="240" w:lineRule="auto"/>
        <w:jc w:val="both"/>
        <w:rPr>
          <w:rFonts w:ascii="Trebuchet MS" w:eastAsia="Times New Roman" w:hAnsi="Trebuchet MS" w:cs="Calibri"/>
          <w:bCs/>
          <w:color w:val="000000"/>
          <w:sz w:val="20"/>
          <w:szCs w:val="20"/>
          <w:lang w:eastAsia="en-US"/>
        </w:rPr>
      </w:pPr>
    </w:p>
    <w:p w14:paraId="1125838B" w14:textId="3E2014FA" w:rsidR="00BA749E" w:rsidRPr="003C3B94" w:rsidRDefault="00E40796" w:rsidP="00D8347A">
      <w:pPr>
        <w:spacing w:after="0" w:line="240" w:lineRule="auto"/>
        <w:jc w:val="both"/>
        <w:rPr>
          <w:rFonts w:ascii="Trebuchet MS" w:eastAsia="Times New Roman" w:hAnsi="Trebuchet MS" w:cs="Calibri"/>
          <w:color w:val="000000"/>
          <w:sz w:val="20"/>
          <w:szCs w:val="20"/>
          <w:u w:val="single"/>
          <w:lang w:eastAsia="en-US"/>
        </w:rPr>
      </w:pPr>
      <w:r w:rsidRPr="003C3B94">
        <w:rPr>
          <w:rFonts w:ascii="Trebuchet MS" w:eastAsia="Times New Roman" w:hAnsi="Trebuchet MS" w:cs="Calibri"/>
          <w:b/>
          <w:bCs/>
          <w:color w:val="000000"/>
          <w:sz w:val="20"/>
          <w:szCs w:val="20"/>
          <w:u w:val="single"/>
          <w:lang w:eastAsia="en-US"/>
        </w:rPr>
        <w:t>Anticipated</w:t>
      </w:r>
      <w:r w:rsidR="004D7B27" w:rsidRPr="003C3B94">
        <w:rPr>
          <w:rFonts w:ascii="Trebuchet MS" w:eastAsia="Times New Roman" w:hAnsi="Trebuchet MS" w:cs="Calibri"/>
          <w:b/>
          <w:bCs/>
          <w:color w:val="000000"/>
          <w:sz w:val="20"/>
          <w:szCs w:val="20"/>
          <w:u w:val="single"/>
          <w:lang w:eastAsia="en-US"/>
        </w:rPr>
        <w:t xml:space="preserve"> challenges raised by members</w:t>
      </w:r>
    </w:p>
    <w:p w14:paraId="3C365BFC" w14:textId="77777777" w:rsidR="00773B60" w:rsidRPr="00BF318E" w:rsidRDefault="00773B60" w:rsidP="00D8347A">
      <w:pPr>
        <w:spacing w:after="0" w:line="240" w:lineRule="auto"/>
        <w:jc w:val="both"/>
        <w:rPr>
          <w:rFonts w:ascii="Trebuchet MS" w:eastAsia="Times New Roman" w:hAnsi="Trebuchet MS" w:cs="Calibri"/>
          <w:color w:val="000000"/>
          <w:sz w:val="20"/>
          <w:szCs w:val="20"/>
          <w:lang w:eastAsia="en-US"/>
        </w:rPr>
      </w:pPr>
    </w:p>
    <w:p w14:paraId="540B39D8" w14:textId="77777777" w:rsidR="00531CB0" w:rsidRPr="003C3B94" w:rsidRDefault="00ED2323" w:rsidP="00D8347A">
      <w:pPr>
        <w:spacing w:after="0" w:line="240" w:lineRule="auto"/>
        <w:jc w:val="both"/>
        <w:rPr>
          <w:rFonts w:ascii="Trebuchet MS" w:eastAsia="Times New Roman" w:hAnsi="Trebuchet MS" w:cs="Calibri"/>
          <w:b/>
          <w:color w:val="000000"/>
          <w:sz w:val="20"/>
          <w:szCs w:val="20"/>
          <w:lang w:eastAsia="en-US"/>
        </w:rPr>
      </w:pPr>
      <w:r w:rsidRPr="003C3B94">
        <w:rPr>
          <w:rFonts w:ascii="Trebuchet MS" w:eastAsia="Times New Roman" w:hAnsi="Trebuchet MS" w:cs="Calibri"/>
          <w:b/>
          <w:color w:val="000000"/>
          <w:sz w:val="20"/>
          <w:szCs w:val="20"/>
          <w:lang w:eastAsia="en-US"/>
        </w:rPr>
        <w:t xml:space="preserve">General </w:t>
      </w:r>
      <w:r w:rsidR="00531CB0" w:rsidRPr="003C3B94">
        <w:rPr>
          <w:rFonts w:ascii="Trebuchet MS" w:eastAsia="Times New Roman" w:hAnsi="Trebuchet MS" w:cs="Calibri"/>
          <w:b/>
          <w:color w:val="000000"/>
          <w:sz w:val="20"/>
          <w:szCs w:val="20"/>
          <w:lang w:eastAsia="en-US"/>
        </w:rPr>
        <w:t xml:space="preserve">Public </w:t>
      </w:r>
      <w:r w:rsidRPr="003C3B94">
        <w:rPr>
          <w:rFonts w:ascii="Trebuchet MS" w:eastAsia="Times New Roman" w:hAnsi="Trebuchet MS" w:cs="Calibri"/>
          <w:b/>
          <w:color w:val="000000"/>
          <w:sz w:val="20"/>
          <w:szCs w:val="20"/>
          <w:lang w:eastAsia="en-US"/>
        </w:rPr>
        <w:t>P</w:t>
      </w:r>
      <w:r w:rsidR="00531CB0" w:rsidRPr="003C3B94">
        <w:rPr>
          <w:rFonts w:ascii="Trebuchet MS" w:eastAsia="Times New Roman" w:hAnsi="Trebuchet MS" w:cs="Calibri"/>
          <w:b/>
          <w:color w:val="000000"/>
          <w:sz w:val="20"/>
          <w:szCs w:val="20"/>
          <w:lang w:eastAsia="en-US"/>
        </w:rPr>
        <w:t xml:space="preserve">rocurement </w:t>
      </w:r>
      <w:r w:rsidRPr="003C3B94">
        <w:rPr>
          <w:rFonts w:ascii="Trebuchet MS" w:eastAsia="Times New Roman" w:hAnsi="Trebuchet MS" w:cs="Calibri"/>
          <w:b/>
          <w:color w:val="000000"/>
          <w:sz w:val="20"/>
          <w:szCs w:val="20"/>
          <w:lang w:eastAsia="en-US"/>
        </w:rPr>
        <w:t>Considerations</w:t>
      </w:r>
    </w:p>
    <w:p w14:paraId="452E90D8" w14:textId="77777777" w:rsidR="000C3CBA" w:rsidRPr="00920DCF" w:rsidRDefault="000C3CBA" w:rsidP="00920DCF">
      <w:pPr>
        <w:spacing w:after="0" w:line="240" w:lineRule="auto"/>
        <w:jc w:val="both"/>
        <w:rPr>
          <w:rFonts w:ascii="Trebuchet MS" w:eastAsia="Times New Roman" w:hAnsi="Trebuchet MS" w:cs="Times New Roman"/>
          <w:color w:val="000000" w:themeColor="text1"/>
          <w:sz w:val="20"/>
          <w:szCs w:val="20"/>
          <w:lang w:eastAsia="en-US"/>
        </w:rPr>
      </w:pPr>
    </w:p>
    <w:p w14:paraId="043DCA14" w14:textId="77777777" w:rsidR="007B37E9" w:rsidRPr="00BF318E" w:rsidRDefault="007B37E9" w:rsidP="00D8347A">
      <w:pPr>
        <w:jc w:val="both"/>
        <w:rPr>
          <w:rFonts w:ascii="Trebuchet MS" w:hAnsi="Trebuchet MS"/>
          <w:sz w:val="20"/>
          <w:szCs w:val="20"/>
          <w:u w:val="single"/>
        </w:rPr>
      </w:pPr>
      <w:r w:rsidRPr="00BF318E">
        <w:rPr>
          <w:rFonts w:ascii="Trebuchet MS" w:hAnsi="Trebuchet MS"/>
          <w:sz w:val="20"/>
          <w:szCs w:val="20"/>
          <w:u w:val="single"/>
        </w:rPr>
        <w:t>Forward Planning</w:t>
      </w:r>
    </w:p>
    <w:p w14:paraId="517E22FA" w14:textId="7177F06D" w:rsidR="007B37E9" w:rsidRPr="00FC14AA" w:rsidRDefault="00920DCF" w:rsidP="00FC14AA">
      <w:pPr>
        <w:pStyle w:val="ListParagraph"/>
        <w:numPr>
          <w:ilvl w:val="0"/>
          <w:numId w:val="9"/>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A large number of contracts, which would have been retendered in 2020, have been extended to the end of the year. </w:t>
      </w:r>
      <w:r w:rsidR="007B37E9" w:rsidRPr="00FC14AA">
        <w:rPr>
          <w:rFonts w:ascii="Trebuchet MS" w:hAnsi="Trebuchet MS"/>
          <w:sz w:val="20"/>
          <w:szCs w:val="20"/>
        </w:rPr>
        <w:t>C</w:t>
      </w:r>
      <w:r w:rsidR="007B37E9" w:rsidRPr="00FC14AA">
        <w:rPr>
          <w:rFonts w:ascii="Trebuchet MS" w:eastAsia="Times New Roman" w:hAnsi="Trebuchet MS"/>
          <w:sz w:val="20"/>
          <w:szCs w:val="20"/>
        </w:rPr>
        <w:t>CS should have a master list of all procurements and actively plan the pace and phasing of these contracts. It can thereby develop a considered programme to manage the pipeline.</w:t>
      </w:r>
      <w:r w:rsidR="00C61BEC" w:rsidRPr="00FC14AA">
        <w:rPr>
          <w:rFonts w:ascii="Trebuchet MS" w:eastAsia="Times New Roman" w:hAnsi="Trebuchet MS"/>
          <w:sz w:val="20"/>
          <w:szCs w:val="20"/>
        </w:rPr>
        <w:t xml:space="preserve"> Updated timelines should then be published. </w:t>
      </w:r>
    </w:p>
    <w:p w14:paraId="6F10B61F" w14:textId="77777777" w:rsidR="007B37E9" w:rsidRPr="00BF318E" w:rsidRDefault="007B37E9" w:rsidP="00D8347A">
      <w:pPr>
        <w:pStyle w:val="ListParagraph"/>
        <w:numPr>
          <w:ilvl w:val="0"/>
          <w:numId w:val="9"/>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 xml:space="preserve">Release ITT documents earlier than the current practice. This will enable bidders to do all mark ups, ask CQs early and thereby reduce the likelihood of needing to have any extensions. </w:t>
      </w:r>
    </w:p>
    <w:p w14:paraId="532498F0" w14:textId="77777777" w:rsidR="000C3CBA" w:rsidRPr="000C3CBA" w:rsidRDefault="000C3CBA" w:rsidP="00D8347A">
      <w:pPr>
        <w:pStyle w:val="ListParagraph"/>
        <w:spacing w:after="0" w:line="240" w:lineRule="auto"/>
        <w:ind w:left="360"/>
        <w:contextualSpacing w:val="0"/>
        <w:jc w:val="both"/>
        <w:rPr>
          <w:rFonts w:ascii="Trebuchet MS" w:eastAsia="Times New Roman" w:hAnsi="Trebuchet MS"/>
          <w:sz w:val="20"/>
          <w:szCs w:val="20"/>
        </w:rPr>
      </w:pPr>
    </w:p>
    <w:p w14:paraId="14BE67DF" w14:textId="77777777" w:rsidR="007B37E9" w:rsidRPr="00BF318E" w:rsidRDefault="007B37E9" w:rsidP="00D8347A">
      <w:pPr>
        <w:jc w:val="both"/>
        <w:rPr>
          <w:rFonts w:ascii="Trebuchet MS" w:hAnsi="Trebuchet MS"/>
          <w:sz w:val="20"/>
          <w:szCs w:val="20"/>
          <w:u w:val="single"/>
        </w:rPr>
      </w:pPr>
      <w:r w:rsidRPr="00BF318E">
        <w:rPr>
          <w:rFonts w:ascii="Trebuchet MS" w:hAnsi="Trebuchet MS"/>
          <w:sz w:val="20"/>
          <w:szCs w:val="20"/>
          <w:u w:val="single"/>
        </w:rPr>
        <w:t>Coordination</w:t>
      </w:r>
    </w:p>
    <w:p w14:paraId="67A3A2E3" w14:textId="77777777" w:rsidR="007B37E9" w:rsidRPr="00BF318E" w:rsidRDefault="007B37E9" w:rsidP="00D8347A">
      <w:pPr>
        <w:pStyle w:val="ListParagraph"/>
        <w:numPr>
          <w:ilvl w:val="0"/>
          <w:numId w:val="9"/>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Collaborate with bidders to determine whether any bids can have a shorter bid or mobilisation period. This will accelerate the overall government pipeline delivery.</w:t>
      </w:r>
    </w:p>
    <w:p w14:paraId="0BACC63E" w14:textId="77777777" w:rsidR="007B37E9" w:rsidRPr="00BF318E" w:rsidRDefault="007B37E9" w:rsidP="00D8347A">
      <w:pPr>
        <w:pStyle w:val="ListParagraph"/>
        <w:numPr>
          <w:ilvl w:val="0"/>
          <w:numId w:val="9"/>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 xml:space="preserve">Ensure that there is better collaboration between Government departments. There should only be one or two live bids on any framework at a time. </w:t>
      </w:r>
    </w:p>
    <w:p w14:paraId="2BDDC7C8" w14:textId="2ADBF403" w:rsidR="007B37E9" w:rsidRPr="00FC5BB7" w:rsidRDefault="007B37E9" w:rsidP="00FC5BB7">
      <w:pPr>
        <w:pStyle w:val="ListParagraph"/>
        <w:numPr>
          <w:ilvl w:val="0"/>
          <w:numId w:val="9"/>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Stagger contract lengths so contracts don’t all renew at the same time and re-create the bottle neck in the future.</w:t>
      </w:r>
      <w:r w:rsidR="00FC5BB7" w:rsidRPr="00FC5BB7">
        <w:rPr>
          <w:rFonts w:ascii="Trebuchet MS" w:eastAsia="Times New Roman" w:hAnsi="Trebuchet MS"/>
          <w:sz w:val="20"/>
          <w:szCs w:val="20"/>
        </w:rPr>
        <w:t xml:space="preserve"> </w:t>
      </w:r>
      <w:r w:rsidR="00FC5BB7" w:rsidRPr="00BF318E">
        <w:rPr>
          <w:rFonts w:ascii="Trebuchet MS" w:eastAsia="Times New Roman" w:hAnsi="Trebuchet MS"/>
          <w:sz w:val="20"/>
          <w:szCs w:val="20"/>
        </w:rPr>
        <w:t>Ensure the poorer performing contracts come to market first.</w:t>
      </w:r>
    </w:p>
    <w:p w14:paraId="7465AB24" w14:textId="77777777" w:rsidR="000C3CBA" w:rsidRPr="000C3CBA" w:rsidRDefault="000C3CBA" w:rsidP="00D8347A">
      <w:pPr>
        <w:pStyle w:val="ListParagraph"/>
        <w:spacing w:after="0" w:line="240" w:lineRule="auto"/>
        <w:ind w:left="360"/>
        <w:contextualSpacing w:val="0"/>
        <w:jc w:val="both"/>
        <w:rPr>
          <w:rFonts w:ascii="Trebuchet MS" w:eastAsia="Times New Roman" w:hAnsi="Trebuchet MS"/>
          <w:sz w:val="20"/>
          <w:szCs w:val="20"/>
        </w:rPr>
      </w:pPr>
    </w:p>
    <w:p w14:paraId="76460AE9" w14:textId="77777777" w:rsidR="007B37E9" w:rsidRPr="00BF318E" w:rsidRDefault="007B37E9" w:rsidP="00D8347A">
      <w:pPr>
        <w:jc w:val="both"/>
        <w:rPr>
          <w:rFonts w:ascii="Trebuchet MS" w:hAnsi="Trebuchet MS"/>
          <w:sz w:val="20"/>
          <w:szCs w:val="20"/>
          <w:u w:val="single"/>
        </w:rPr>
      </w:pPr>
      <w:r w:rsidRPr="00BF318E">
        <w:rPr>
          <w:rFonts w:ascii="Trebuchet MS" w:hAnsi="Trebuchet MS"/>
          <w:sz w:val="20"/>
          <w:szCs w:val="20"/>
          <w:u w:val="single"/>
        </w:rPr>
        <w:t>Flexibility &amp; Simplicity</w:t>
      </w:r>
    </w:p>
    <w:p w14:paraId="7E5C149B" w14:textId="6AFE4A5A" w:rsidR="007B37E9" w:rsidRPr="00BF318E" w:rsidRDefault="002371B0" w:rsidP="00D8347A">
      <w:pPr>
        <w:pStyle w:val="ListParagraph"/>
        <w:numPr>
          <w:ilvl w:val="0"/>
          <w:numId w:val="9"/>
        </w:numPr>
        <w:spacing w:after="0" w:line="240" w:lineRule="auto"/>
        <w:contextualSpacing w:val="0"/>
        <w:jc w:val="both"/>
        <w:rPr>
          <w:rFonts w:ascii="Trebuchet MS" w:eastAsia="Times New Roman" w:hAnsi="Trebuchet MS"/>
          <w:sz w:val="20"/>
          <w:szCs w:val="20"/>
        </w:rPr>
      </w:pPr>
      <w:r>
        <w:rPr>
          <w:rFonts w:ascii="Trebuchet MS" w:eastAsia="Times New Roman" w:hAnsi="Trebuchet MS"/>
          <w:sz w:val="20"/>
          <w:szCs w:val="20"/>
        </w:rPr>
        <w:t>Clients</w:t>
      </w:r>
      <w:r w:rsidR="00C139A4">
        <w:rPr>
          <w:rFonts w:ascii="Trebuchet MS" w:eastAsia="Times New Roman" w:hAnsi="Trebuchet MS"/>
          <w:sz w:val="20"/>
          <w:szCs w:val="20"/>
        </w:rPr>
        <w:t xml:space="preserve"> could s</w:t>
      </w:r>
      <w:r w:rsidR="007B37E9" w:rsidRPr="00BF318E">
        <w:rPr>
          <w:rFonts w:ascii="Trebuchet MS" w:eastAsia="Times New Roman" w:hAnsi="Trebuchet MS"/>
          <w:sz w:val="20"/>
          <w:szCs w:val="20"/>
        </w:rPr>
        <w:t>tart running some competitions now</w:t>
      </w:r>
      <w:r w:rsidR="00C139A4">
        <w:rPr>
          <w:rFonts w:ascii="Trebuchet MS" w:eastAsia="Times New Roman" w:hAnsi="Trebuchet MS"/>
          <w:sz w:val="20"/>
          <w:szCs w:val="20"/>
        </w:rPr>
        <w:t xml:space="preserve"> and</w:t>
      </w:r>
      <w:r w:rsidR="007B37E9" w:rsidRPr="00BF318E">
        <w:rPr>
          <w:rFonts w:ascii="Trebuchet MS" w:eastAsia="Times New Roman" w:hAnsi="Trebuchet MS"/>
          <w:sz w:val="20"/>
          <w:szCs w:val="20"/>
        </w:rPr>
        <w:t xml:space="preserve"> </w:t>
      </w:r>
      <w:r w:rsidR="00C139A4">
        <w:rPr>
          <w:rFonts w:ascii="Trebuchet MS" w:eastAsia="Times New Roman" w:hAnsi="Trebuchet MS"/>
          <w:sz w:val="20"/>
          <w:szCs w:val="20"/>
        </w:rPr>
        <w:t>c</w:t>
      </w:r>
      <w:r w:rsidR="007B37E9" w:rsidRPr="00BF318E">
        <w:rPr>
          <w:rFonts w:ascii="Trebuchet MS" w:eastAsia="Times New Roman" w:hAnsi="Trebuchet MS"/>
          <w:sz w:val="20"/>
          <w:szCs w:val="20"/>
        </w:rPr>
        <w:t xml:space="preserve">hange </w:t>
      </w:r>
      <w:r w:rsidR="00B81D80">
        <w:rPr>
          <w:rFonts w:ascii="Trebuchet MS" w:eastAsia="Times New Roman" w:hAnsi="Trebuchet MS"/>
          <w:sz w:val="20"/>
          <w:szCs w:val="20"/>
        </w:rPr>
        <w:t xml:space="preserve">the </w:t>
      </w:r>
      <w:r w:rsidR="007B37E9" w:rsidRPr="00BF318E">
        <w:rPr>
          <w:rFonts w:ascii="Trebuchet MS" w:eastAsia="Times New Roman" w:hAnsi="Trebuchet MS"/>
          <w:sz w:val="20"/>
          <w:szCs w:val="20"/>
        </w:rPr>
        <w:t>order of procurement such that site visits and collaboration are at the end of the process. Introduce BAFO, if needed, to tweak bid</w:t>
      </w:r>
      <w:r w:rsidR="0061269A">
        <w:rPr>
          <w:rFonts w:ascii="Trebuchet MS" w:eastAsia="Times New Roman" w:hAnsi="Trebuchet MS"/>
          <w:sz w:val="20"/>
          <w:szCs w:val="20"/>
        </w:rPr>
        <w:t>s</w:t>
      </w:r>
      <w:r w:rsidR="007B37E9" w:rsidRPr="00BF318E">
        <w:rPr>
          <w:rFonts w:ascii="Trebuchet MS" w:eastAsia="Times New Roman" w:hAnsi="Trebuchet MS"/>
          <w:sz w:val="20"/>
          <w:szCs w:val="20"/>
        </w:rPr>
        <w:t xml:space="preserve"> following these visits. </w:t>
      </w:r>
    </w:p>
    <w:p w14:paraId="2D8F8C86" w14:textId="4CC85268" w:rsidR="007B37E9" w:rsidRPr="00BF318E" w:rsidRDefault="007B37E9" w:rsidP="00D8347A">
      <w:pPr>
        <w:pStyle w:val="ListParagraph"/>
        <w:numPr>
          <w:ilvl w:val="0"/>
          <w:numId w:val="9"/>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 xml:space="preserve">Simplify procurement process. For example, bid on example site in price envelope, where full information </w:t>
      </w:r>
      <w:r w:rsidR="008F7D00">
        <w:rPr>
          <w:rFonts w:ascii="Trebuchet MS" w:eastAsia="Times New Roman" w:hAnsi="Trebuchet MS"/>
          <w:sz w:val="20"/>
          <w:szCs w:val="20"/>
        </w:rPr>
        <w:t xml:space="preserve">is </w:t>
      </w:r>
      <w:r w:rsidRPr="00BF318E">
        <w:rPr>
          <w:rFonts w:ascii="Trebuchet MS" w:eastAsia="Times New Roman" w:hAnsi="Trebuchet MS"/>
          <w:sz w:val="20"/>
          <w:szCs w:val="20"/>
        </w:rPr>
        <w:t>given. Then once the final two providers are short listed, run a more detailed process to cover the whole portfolio. Another approach could be to use ‘should cost’ modelling to fix the price and evaluate bidders on what they can offer for the price.</w:t>
      </w:r>
    </w:p>
    <w:p w14:paraId="12A8C6F1" w14:textId="5D86EB9D" w:rsidR="00130BBF" w:rsidRPr="000C3CBA" w:rsidRDefault="00130BBF" w:rsidP="00130BBF">
      <w:pPr>
        <w:pStyle w:val="ListParagraph"/>
        <w:numPr>
          <w:ilvl w:val="0"/>
          <w:numId w:val="9"/>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Times New Roman"/>
          <w:color w:val="000000" w:themeColor="text1"/>
          <w:sz w:val="20"/>
          <w:szCs w:val="20"/>
          <w:lang w:eastAsia="en-US"/>
        </w:rPr>
        <w:t xml:space="preserve">Government should also advocate ISO accreditations are extended reasonably and look at smarter ways of conducting audits. </w:t>
      </w:r>
    </w:p>
    <w:p w14:paraId="770EC139" w14:textId="25DCE06B" w:rsidR="00F1191C" w:rsidRDefault="00AA029A" w:rsidP="00F1191C">
      <w:pPr>
        <w:pStyle w:val="ListParagraph"/>
        <w:numPr>
          <w:ilvl w:val="0"/>
          <w:numId w:val="9"/>
        </w:numPr>
        <w:spacing w:after="0" w:line="240" w:lineRule="auto"/>
        <w:jc w:val="both"/>
        <w:rPr>
          <w:rFonts w:ascii="Trebuchet MS" w:eastAsia="Times New Roman" w:hAnsi="Trebuchet MS" w:cs="Calibri"/>
          <w:color w:val="000000"/>
          <w:sz w:val="20"/>
          <w:szCs w:val="20"/>
          <w:lang w:eastAsia="en-US"/>
        </w:rPr>
      </w:pPr>
      <w:r>
        <w:rPr>
          <w:rFonts w:ascii="Trebuchet MS" w:eastAsia="Times New Roman" w:hAnsi="Trebuchet MS" w:cs="Calibri"/>
          <w:color w:val="000000"/>
          <w:sz w:val="20"/>
          <w:szCs w:val="20"/>
          <w:lang w:eastAsia="en-US"/>
        </w:rPr>
        <w:t>E</w:t>
      </w:r>
      <w:r w:rsidRPr="00BF318E">
        <w:rPr>
          <w:rFonts w:ascii="Trebuchet MS" w:eastAsia="Times New Roman" w:hAnsi="Trebuchet MS" w:cs="Calibri"/>
          <w:color w:val="000000"/>
          <w:sz w:val="20"/>
          <w:szCs w:val="20"/>
          <w:lang w:eastAsia="en-US"/>
        </w:rPr>
        <w:t xml:space="preserve">xtension periods </w:t>
      </w:r>
      <w:r>
        <w:rPr>
          <w:rFonts w:ascii="Trebuchet MS" w:eastAsia="Times New Roman" w:hAnsi="Trebuchet MS" w:cs="Calibri"/>
          <w:color w:val="000000"/>
          <w:sz w:val="20"/>
          <w:szCs w:val="20"/>
          <w:lang w:eastAsia="en-US"/>
        </w:rPr>
        <w:t>could</w:t>
      </w:r>
      <w:r w:rsidRPr="00BF318E">
        <w:rPr>
          <w:rFonts w:ascii="Trebuchet MS" w:eastAsia="Times New Roman" w:hAnsi="Trebuchet MS" w:cs="Calibri"/>
          <w:color w:val="000000"/>
          <w:sz w:val="20"/>
          <w:szCs w:val="20"/>
          <w:lang w:eastAsia="en-US"/>
        </w:rPr>
        <w:t xml:space="preserve"> include an ability to operate a rolling contract post th</w:t>
      </w:r>
      <w:r>
        <w:rPr>
          <w:rFonts w:ascii="Trebuchet MS" w:eastAsia="Times New Roman" w:hAnsi="Trebuchet MS" w:cs="Calibri"/>
          <w:color w:val="000000"/>
          <w:sz w:val="20"/>
          <w:szCs w:val="20"/>
          <w:lang w:eastAsia="en-US"/>
        </w:rPr>
        <w:t>e</w:t>
      </w:r>
      <w:r w:rsidRPr="00BF318E">
        <w:rPr>
          <w:rFonts w:ascii="Trebuchet MS" w:eastAsia="Times New Roman" w:hAnsi="Trebuchet MS" w:cs="Calibri"/>
          <w:color w:val="000000"/>
          <w:sz w:val="20"/>
          <w:szCs w:val="20"/>
          <w:lang w:eastAsia="en-US"/>
        </w:rPr>
        <w:t xml:space="preserve"> extension period to provide more flexibility and enable </w:t>
      </w:r>
      <w:r>
        <w:rPr>
          <w:rFonts w:ascii="Trebuchet MS" w:eastAsia="Times New Roman" w:hAnsi="Trebuchet MS" w:cs="Calibri"/>
          <w:color w:val="000000"/>
          <w:sz w:val="20"/>
          <w:szCs w:val="20"/>
          <w:lang w:eastAsia="en-US"/>
        </w:rPr>
        <w:t>authorities</w:t>
      </w:r>
      <w:r w:rsidRPr="00BF318E">
        <w:rPr>
          <w:rFonts w:ascii="Trebuchet MS" w:eastAsia="Times New Roman" w:hAnsi="Trebuchet MS" w:cs="Calibri"/>
          <w:color w:val="000000"/>
          <w:sz w:val="20"/>
          <w:szCs w:val="20"/>
          <w:lang w:eastAsia="en-US"/>
        </w:rPr>
        <w:t xml:space="preserve"> to determine the right time to enter a competitive tender process.</w:t>
      </w:r>
    </w:p>
    <w:p w14:paraId="04380805" w14:textId="77777777" w:rsidR="00161C09" w:rsidRDefault="00161C09" w:rsidP="00161C09">
      <w:pPr>
        <w:spacing w:after="0" w:line="240" w:lineRule="auto"/>
        <w:jc w:val="both"/>
        <w:rPr>
          <w:rFonts w:ascii="Trebuchet MS" w:eastAsia="Times New Roman" w:hAnsi="Trebuchet MS" w:cs="Calibri"/>
          <w:color w:val="000000"/>
          <w:sz w:val="20"/>
          <w:szCs w:val="20"/>
          <w:lang w:eastAsia="en-US"/>
        </w:rPr>
      </w:pPr>
    </w:p>
    <w:p w14:paraId="14D7F9B3" w14:textId="0196EF78" w:rsidR="00110D51" w:rsidRPr="00110D51" w:rsidRDefault="00110D51" w:rsidP="00161C09">
      <w:pPr>
        <w:spacing w:after="0" w:line="240" w:lineRule="auto"/>
        <w:jc w:val="both"/>
        <w:rPr>
          <w:rFonts w:ascii="Trebuchet MS" w:eastAsia="Times New Roman" w:hAnsi="Trebuchet MS" w:cs="Calibri"/>
          <w:color w:val="000000"/>
          <w:sz w:val="20"/>
          <w:szCs w:val="20"/>
          <w:u w:val="single"/>
          <w:lang w:eastAsia="en-US"/>
        </w:rPr>
      </w:pPr>
      <w:r w:rsidRPr="00110D51">
        <w:rPr>
          <w:rFonts w:ascii="Trebuchet MS" w:eastAsia="Times New Roman" w:hAnsi="Trebuchet MS" w:cs="Calibri"/>
          <w:color w:val="000000"/>
          <w:sz w:val="20"/>
          <w:szCs w:val="20"/>
          <w:u w:val="single"/>
          <w:lang w:eastAsia="en-US"/>
        </w:rPr>
        <w:t>Fair competition</w:t>
      </w:r>
    </w:p>
    <w:p w14:paraId="11FC148E" w14:textId="77777777" w:rsidR="00161C09" w:rsidRDefault="00161C09" w:rsidP="00161C09">
      <w:pPr>
        <w:spacing w:after="0" w:line="240" w:lineRule="auto"/>
        <w:jc w:val="both"/>
        <w:rPr>
          <w:rFonts w:ascii="Trebuchet MS" w:eastAsia="Times New Roman" w:hAnsi="Trebuchet MS" w:cs="Calibri"/>
          <w:color w:val="000000"/>
          <w:sz w:val="20"/>
          <w:szCs w:val="20"/>
          <w:lang w:eastAsia="en-US"/>
        </w:rPr>
      </w:pPr>
    </w:p>
    <w:p w14:paraId="54D16E8F" w14:textId="77777777" w:rsidR="00110D51" w:rsidRDefault="00F1191C" w:rsidP="00F1191C">
      <w:pPr>
        <w:pStyle w:val="ListParagraph"/>
        <w:numPr>
          <w:ilvl w:val="0"/>
          <w:numId w:val="32"/>
        </w:numPr>
        <w:spacing w:after="0" w:line="240" w:lineRule="auto"/>
        <w:jc w:val="both"/>
        <w:rPr>
          <w:rFonts w:ascii="Trebuchet MS" w:eastAsia="Times New Roman" w:hAnsi="Trebuchet MS" w:cs="Calibri"/>
          <w:color w:val="000000"/>
          <w:sz w:val="20"/>
          <w:szCs w:val="20"/>
          <w:lang w:eastAsia="en-US"/>
        </w:rPr>
      </w:pPr>
      <w:r w:rsidRPr="00110D51">
        <w:rPr>
          <w:rFonts w:ascii="Trebuchet MS" w:eastAsia="Times New Roman" w:hAnsi="Trebuchet MS" w:cs="Calibri"/>
          <w:color w:val="000000"/>
          <w:sz w:val="20"/>
          <w:szCs w:val="20"/>
          <w:lang w:eastAsia="en-US"/>
        </w:rPr>
        <w:t>Where frameworks have to be re-let, buyers could make much better use of dynamic purchasing systems instead of fixed frameworks. A DPS can ‘smooth’ the backlog of tenders, because they allow new suppliers to join at any time.  DPSs also make contracts accessible to a wider range of firms. </w:t>
      </w:r>
    </w:p>
    <w:p w14:paraId="60424546" w14:textId="55A2778E" w:rsidR="00F1191C" w:rsidRPr="00110D51" w:rsidRDefault="00F1191C" w:rsidP="00F1191C">
      <w:pPr>
        <w:pStyle w:val="ListParagraph"/>
        <w:numPr>
          <w:ilvl w:val="0"/>
          <w:numId w:val="32"/>
        </w:numPr>
        <w:spacing w:after="0" w:line="240" w:lineRule="auto"/>
        <w:jc w:val="both"/>
        <w:rPr>
          <w:rFonts w:ascii="Trebuchet MS" w:eastAsia="Times New Roman" w:hAnsi="Trebuchet MS" w:cs="Calibri"/>
          <w:color w:val="000000"/>
          <w:sz w:val="20"/>
          <w:szCs w:val="20"/>
          <w:lang w:eastAsia="en-US"/>
        </w:rPr>
      </w:pPr>
      <w:r w:rsidRPr="00110D51">
        <w:rPr>
          <w:rFonts w:ascii="Trebuchet MS" w:eastAsia="Times New Roman" w:hAnsi="Trebuchet MS" w:cs="Calibri"/>
          <w:color w:val="000000"/>
          <w:sz w:val="20"/>
          <w:szCs w:val="20"/>
          <w:lang w:eastAsia="en-US"/>
        </w:rPr>
        <w:t>The backlog on procurement might mean that some contracts need to be let under emergency provision for a good while yet but, as we move out of lockdown, in order to justify the lack of competition, these contracts should be subject to greater levels of scrutiny and transparency to ensure that they are performant and that awards were justified</w:t>
      </w:r>
      <w:r w:rsidR="00161C09" w:rsidRPr="00110D51">
        <w:rPr>
          <w:rFonts w:ascii="Trebuchet MS" w:eastAsia="Times New Roman" w:hAnsi="Trebuchet MS" w:cs="Calibri"/>
          <w:color w:val="000000"/>
          <w:sz w:val="20"/>
          <w:szCs w:val="20"/>
          <w:lang w:eastAsia="en-US"/>
        </w:rPr>
        <w:t>.</w:t>
      </w:r>
    </w:p>
    <w:p w14:paraId="3C4C89E0" w14:textId="77777777" w:rsidR="00460E00" w:rsidRPr="00BF318E" w:rsidRDefault="00460E00" w:rsidP="00D8347A">
      <w:pPr>
        <w:spacing w:after="0" w:line="240" w:lineRule="auto"/>
        <w:jc w:val="both"/>
        <w:rPr>
          <w:rFonts w:ascii="Trebuchet MS" w:eastAsia="Times New Roman" w:hAnsi="Trebuchet MS" w:cs="Calibri"/>
          <w:color w:val="000000"/>
          <w:sz w:val="20"/>
          <w:szCs w:val="20"/>
          <w:lang w:eastAsia="en-US"/>
        </w:rPr>
      </w:pPr>
    </w:p>
    <w:p w14:paraId="07845BA3" w14:textId="0D9D5328" w:rsidR="009917B4" w:rsidRPr="003C3B94" w:rsidRDefault="005A1B34" w:rsidP="00D8347A">
      <w:pPr>
        <w:spacing w:after="0" w:line="240" w:lineRule="auto"/>
        <w:jc w:val="both"/>
        <w:rPr>
          <w:rFonts w:ascii="Trebuchet MS" w:eastAsia="Times New Roman" w:hAnsi="Trebuchet MS" w:cs="Calibri"/>
          <w:b/>
          <w:color w:val="000000"/>
          <w:sz w:val="20"/>
          <w:szCs w:val="20"/>
          <w:lang w:eastAsia="en-US"/>
        </w:rPr>
      </w:pPr>
      <w:r w:rsidRPr="00624CD9">
        <w:rPr>
          <w:rFonts w:ascii="Trebuchet MS" w:eastAsia="Times New Roman" w:hAnsi="Trebuchet MS" w:cs="Tahoma"/>
          <w:b/>
          <w:bCs/>
          <w:color w:val="000000"/>
          <w:sz w:val="20"/>
          <w:szCs w:val="20"/>
          <w:lang w:eastAsia="en-US"/>
        </w:rPr>
        <w:t>Withdrawal of Government Support Measures and Policies</w:t>
      </w:r>
      <w:r w:rsidRPr="00624CD9">
        <w:rPr>
          <w:rFonts w:ascii="Arial" w:eastAsia="Times New Roman" w:hAnsi="Arial" w:cs="Arial"/>
          <w:b/>
          <w:bCs/>
          <w:color w:val="000000"/>
          <w:sz w:val="20"/>
          <w:szCs w:val="20"/>
          <w:lang w:eastAsia="en-US"/>
        </w:rPr>
        <w:t>​</w:t>
      </w:r>
    </w:p>
    <w:p w14:paraId="10F79952" w14:textId="77777777" w:rsidR="009917B4" w:rsidRPr="00BF318E" w:rsidRDefault="009917B4" w:rsidP="00D8347A">
      <w:pPr>
        <w:pStyle w:val="ListParagraph"/>
        <w:suppressAutoHyphens/>
        <w:autoSpaceDN w:val="0"/>
        <w:spacing w:after="0" w:line="240" w:lineRule="auto"/>
        <w:contextualSpacing w:val="0"/>
        <w:jc w:val="both"/>
        <w:textAlignment w:val="baseline"/>
        <w:rPr>
          <w:rFonts w:ascii="Trebuchet MS" w:eastAsia="Times New Roman" w:hAnsi="Trebuchet MS"/>
          <w:sz w:val="20"/>
          <w:szCs w:val="20"/>
        </w:rPr>
      </w:pPr>
    </w:p>
    <w:p w14:paraId="70A19D62" w14:textId="6B727644" w:rsidR="009917B4" w:rsidRPr="00BF318E" w:rsidRDefault="009B22E7" w:rsidP="00D8347A">
      <w:pPr>
        <w:pStyle w:val="ListParagraph"/>
        <w:numPr>
          <w:ilvl w:val="0"/>
          <w:numId w:val="1"/>
        </w:numPr>
        <w:spacing w:after="0" w:line="240" w:lineRule="auto"/>
        <w:jc w:val="both"/>
        <w:rPr>
          <w:rFonts w:ascii="Trebuchet MS" w:eastAsia="Times New Roman" w:hAnsi="Trebuchet MS" w:cs="Calibri"/>
          <w:color w:val="000000"/>
          <w:sz w:val="20"/>
          <w:szCs w:val="20"/>
          <w:lang w:eastAsia="en-US"/>
        </w:rPr>
      </w:pPr>
      <w:r>
        <w:rPr>
          <w:rFonts w:ascii="Trebuchet MS" w:eastAsia="Times New Roman" w:hAnsi="Trebuchet MS" w:cs="Calibri"/>
          <w:color w:val="000000"/>
          <w:sz w:val="20"/>
          <w:szCs w:val="20"/>
          <w:lang w:eastAsia="en-US"/>
        </w:rPr>
        <w:t>S</w:t>
      </w:r>
      <w:r w:rsidR="009917B4" w:rsidRPr="00BF318E">
        <w:rPr>
          <w:rFonts w:ascii="Trebuchet MS" w:eastAsia="Times New Roman" w:hAnsi="Trebuchet MS" w:cs="Calibri"/>
          <w:color w:val="000000"/>
          <w:sz w:val="20"/>
          <w:szCs w:val="20"/>
          <w:lang w:eastAsia="en-US"/>
        </w:rPr>
        <w:t xml:space="preserve">uppliers should not be forced to issue Force Majeure/Relief Notices where they are unable to meet contractual service levels during an extended period of returning to normal operations. One aspect of the Government support approach would be to introduce a Model Transitional Services Agreement to facilitate a phased return to normal, taking into account coming in and out of lockdown and a potential second spike of Covid-19 infections resulting in a new wave of restrictions. </w:t>
      </w:r>
    </w:p>
    <w:p w14:paraId="7D78A614" w14:textId="71B6D37D" w:rsidR="003C3B94" w:rsidRPr="00BF318E" w:rsidRDefault="003C3B94" w:rsidP="003C3B94">
      <w:pPr>
        <w:pStyle w:val="ListParagraph"/>
        <w:numPr>
          <w:ilvl w:val="0"/>
          <w:numId w:val="23"/>
        </w:numPr>
        <w:spacing w:after="0" w:line="240" w:lineRule="auto"/>
        <w:ind w:left="360"/>
        <w:jc w:val="both"/>
        <w:rPr>
          <w:rFonts w:ascii="Trebuchet MS" w:eastAsia="Times New Roman" w:hAnsi="Trebuchet MS" w:cs="Tahoma"/>
          <w:bCs/>
          <w:color w:val="000000"/>
          <w:sz w:val="20"/>
          <w:szCs w:val="20"/>
          <w:lang w:eastAsia="en-US"/>
        </w:rPr>
      </w:pPr>
      <w:r w:rsidRPr="00624CD9">
        <w:rPr>
          <w:rFonts w:ascii="Trebuchet MS" w:eastAsia="Times New Roman" w:hAnsi="Trebuchet MS" w:cs="Tahoma"/>
          <w:bCs/>
          <w:color w:val="000000"/>
          <w:sz w:val="20"/>
          <w:szCs w:val="20"/>
          <w:lang w:eastAsia="en-US"/>
        </w:rPr>
        <w:t>In many cases it will be very challenging or undesirable in the eyes of the contracting authority/service users to revert to pre-Covid</w:t>
      </w:r>
      <w:r>
        <w:rPr>
          <w:rFonts w:ascii="Trebuchet MS" w:eastAsia="Times New Roman" w:hAnsi="Trebuchet MS" w:cs="Tahoma"/>
          <w:bCs/>
          <w:color w:val="000000"/>
          <w:sz w:val="20"/>
          <w:szCs w:val="20"/>
          <w:lang w:eastAsia="en-US"/>
        </w:rPr>
        <w:t>-</w:t>
      </w:r>
      <w:r w:rsidRPr="00624CD9">
        <w:rPr>
          <w:rFonts w:ascii="Trebuchet MS" w:eastAsia="Times New Roman" w:hAnsi="Trebuchet MS" w:cs="Tahoma"/>
          <w:bCs/>
          <w:color w:val="000000"/>
          <w:sz w:val="20"/>
          <w:szCs w:val="20"/>
          <w:lang w:eastAsia="en-US"/>
        </w:rPr>
        <w:t xml:space="preserve">19 operating models, ways of working and deliverables. However, sustaining those Covid-19 changes for the longer term </w:t>
      </w:r>
      <w:r w:rsidR="008F19C5">
        <w:rPr>
          <w:rFonts w:ascii="Trebuchet MS" w:eastAsia="Times New Roman" w:hAnsi="Trebuchet MS" w:cs="Tahoma"/>
          <w:bCs/>
          <w:color w:val="000000"/>
          <w:sz w:val="20"/>
          <w:szCs w:val="20"/>
          <w:lang w:eastAsia="en-US"/>
        </w:rPr>
        <w:t xml:space="preserve">may </w:t>
      </w:r>
      <w:r w:rsidRPr="00624CD9">
        <w:rPr>
          <w:rFonts w:ascii="Trebuchet MS" w:eastAsia="Times New Roman" w:hAnsi="Trebuchet MS" w:cs="Tahoma"/>
          <w:bCs/>
          <w:color w:val="000000"/>
          <w:sz w:val="20"/>
          <w:szCs w:val="20"/>
          <w:lang w:eastAsia="en-US"/>
        </w:rPr>
        <w:t>require permanent contract changes/increases in service charges.</w:t>
      </w:r>
      <w:r w:rsidRPr="00624CD9">
        <w:rPr>
          <w:rFonts w:ascii="Arial" w:eastAsia="Times New Roman" w:hAnsi="Arial" w:cs="Arial"/>
          <w:bCs/>
          <w:color w:val="000000"/>
          <w:sz w:val="20"/>
          <w:szCs w:val="20"/>
          <w:lang w:eastAsia="en-US"/>
        </w:rPr>
        <w:t>​</w:t>
      </w:r>
    </w:p>
    <w:p w14:paraId="188859E9" w14:textId="4C3F25BE" w:rsidR="003C3B94" w:rsidRPr="00624CD9" w:rsidRDefault="003C3B94" w:rsidP="003C3B94">
      <w:pPr>
        <w:pStyle w:val="ListParagraph"/>
        <w:numPr>
          <w:ilvl w:val="0"/>
          <w:numId w:val="23"/>
        </w:numPr>
        <w:spacing w:after="0" w:line="240" w:lineRule="auto"/>
        <w:ind w:left="360"/>
        <w:jc w:val="both"/>
        <w:rPr>
          <w:rFonts w:ascii="Trebuchet MS" w:eastAsia="Times New Roman" w:hAnsi="Trebuchet MS" w:cs="Tahoma"/>
          <w:bCs/>
          <w:color w:val="000000"/>
          <w:sz w:val="20"/>
          <w:szCs w:val="20"/>
          <w:lang w:eastAsia="en-US"/>
        </w:rPr>
      </w:pPr>
      <w:r w:rsidRPr="00624CD9">
        <w:rPr>
          <w:rFonts w:ascii="Trebuchet MS" w:eastAsia="Times New Roman" w:hAnsi="Trebuchet MS" w:cs="Tahoma"/>
          <w:bCs/>
          <w:color w:val="000000"/>
          <w:sz w:val="20"/>
          <w:szCs w:val="20"/>
          <w:lang w:eastAsia="en-US"/>
        </w:rPr>
        <w:t>In addition, it will be challenging for service providers to immediately revert to meeting pre-Covid</w:t>
      </w:r>
      <w:r>
        <w:rPr>
          <w:rFonts w:ascii="Trebuchet MS" w:eastAsia="Times New Roman" w:hAnsi="Trebuchet MS" w:cs="Tahoma"/>
          <w:bCs/>
          <w:color w:val="000000"/>
          <w:sz w:val="20"/>
          <w:szCs w:val="20"/>
          <w:lang w:eastAsia="en-US"/>
        </w:rPr>
        <w:t>-</w:t>
      </w:r>
      <w:r w:rsidRPr="00624CD9">
        <w:rPr>
          <w:rFonts w:ascii="Trebuchet MS" w:eastAsia="Times New Roman" w:hAnsi="Trebuchet MS" w:cs="Tahoma"/>
          <w:bCs/>
          <w:color w:val="000000"/>
          <w:sz w:val="20"/>
          <w:szCs w:val="20"/>
          <w:lang w:eastAsia="en-US"/>
        </w:rPr>
        <w:t>19 KPIs and contractual requirements. The reasons for this will likely include: </w:t>
      </w:r>
      <w:r w:rsidRPr="00624CD9">
        <w:rPr>
          <w:rFonts w:ascii="Arial" w:eastAsia="Times New Roman" w:hAnsi="Arial" w:cs="Arial"/>
          <w:bCs/>
          <w:color w:val="000000"/>
          <w:sz w:val="20"/>
          <w:szCs w:val="20"/>
          <w:lang w:eastAsia="en-US"/>
        </w:rPr>
        <w:t>​</w:t>
      </w:r>
    </w:p>
    <w:p w14:paraId="41EDF0DF" w14:textId="77777777" w:rsidR="003C3B94" w:rsidRPr="00624CD9" w:rsidRDefault="003C3B94" w:rsidP="003C3B94">
      <w:pPr>
        <w:spacing w:after="0" w:line="240" w:lineRule="auto"/>
        <w:ind w:left="360"/>
        <w:jc w:val="both"/>
        <w:textAlignment w:val="baseline"/>
        <w:rPr>
          <w:rFonts w:ascii="Trebuchet MS" w:eastAsia="Times New Roman" w:hAnsi="Trebuchet MS" w:cs="Calibri"/>
          <w:color w:val="000000"/>
          <w:sz w:val="20"/>
          <w:szCs w:val="20"/>
          <w:lang w:eastAsia="en-US"/>
        </w:rPr>
      </w:pPr>
      <w:r w:rsidRPr="00624CD9">
        <w:rPr>
          <w:rFonts w:ascii="Trebuchet MS" w:eastAsia="Times New Roman" w:hAnsi="Trebuchet MS" w:cs="Tahoma"/>
          <w:bCs/>
          <w:color w:val="000000"/>
          <w:sz w:val="20"/>
          <w:szCs w:val="20"/>
          <w:lang w:eastAsia="en-US"/>
        </w:rPr>
        <w:t>- continued high staff absence rates; </w:t>
      </w:r>
      <w:r w:rsidRPr="00624CD9">
        <w:rPr>
          <w:rFonts w:ascii="Arial" w:eastAsia="Times New Roman" w:hAnsi="Arial" w:cs="Arial"/>
          <w:bCs/>
          <w:color w:val="000000"/>
          <w:sz w:val="20"/>
          <w:szCs w:val="20"/>
          <w:lang w:eastAsia="en-US"/>
        </w:rPr>
        <w:t>​</w:t>
      </w:r>
    </w:p>
    <w:p w14:paraId="603E81D0" w14:textId="77777777" w:rsidR="003C3B94" w:rsidRPr="00624CD9" w:rsidRDefault="003C3B94" w:rsidP="003C3B94">
      <w:pPr>
        <w:spacing w:after="0" w:line="240" w:lineRule="auto"/>
        <w:ind w:left="360"/>
        <w:jc w:val="both"/>
        <w:textAlignment w:val="baseline"/>
        <w:rPr>
          <w:rFonts w:ascii="Trebuchet MS" w:eastAsia="Times New Roman" w:hAnsi="Trebuchet MS" w:cs="Calibri"/>
          <w:color w:val="000000"/>
          <w:sz w:val="20"/>
          <w:szCs w:val="20"/>
          <w:lang w:eastAsia="en-US"/>
        </w:rPr>
      </w:pPr>
      <w:r w:rsidRPr="00624CD9">
        <w:rPr>
          <w:rFonts w:ascii="Trebuchet MS" w:eastAsia="Times New Roman" w:hAnsi="Trebuchet MS" w:cs="Tahoma"/>
          <w:bCs/>
          <w:color w:val="000000"/>
          <w:sz w:val="20"/>
          <w:szCs w:val="20"/>
          <w:lang w:eastAsia="en-US"/>
        </w:rPr>
        <w:t>- annual leave backlogs; </w:t>
      </w:r>
      <w:r w:rsidRPr="00624CD9">
        <w:rPr>
          <w:rFonts w:ascii="Arial" w:eastAsia="Times New Roman" w:hAnsi="Arial" w:cs="Arial"/>
          <w:bCs/>
          <w:color w:val="000000"/>
          <w:sz w:val="20"/>
          <w:szCs w:val="20"/>
          <w:lang w:eastAsia="en-US"/>
        </w:rPr>
        <w:t>​</w:t>
      </w:r>
    </w:p>
    <w:p w14:paraId="5906EA7E" w14:textId="77777777" w:rsidR="003C3B94" w:rsidRPr="00624CD9" w:rsidRDefault="003C3B94" w:rsidP="003C3B94">
      <w:pPr>
        <w:spacing w:after="0" w:line="240" w:lineRule="auto"/>
        <w:ind w:left="360"/>
        <w:jc w:val="both"/>
        <w:textAlignment w:val="baseline"/>
        <w:rPr>
          <w:rFonts w:ascii="Trebuchet MS" w:eastAsia="Times New Roman" w:hAnsi="Trebuchet MS" w:cs="Calibri"/>
          <w:color w:val="000000"/>
          <w:sz w:val="20"/>
          <w:szCs w:val="20"/>
          <w:lang w:eastAsia="en-US"/>
        </w:rPr>
      </w:pPr>
      <w:r w:rsidRPr="00624CD9">
        <w:rPr>
          <w:rFonts w:ascii="Trebuchet MS" w:eastAsia="Times New Roman" w:hAnsi="Trebuchet MS" w:cs="Tahoma"/>
          <w:bCs/>
          <w:color w:val="000000"/>
          <w:sz w:val="20"/>
          <w:szCs w:val="20"/>
          <w:lang w:eastAsia="en-US"/>
        </w:rPr>
        <w:t>- implementation of social distancing measures and ways of working; </w:t>
      </w:r>
      <w:r w:rsidRPr="00624CD9">
        <w:rPr>
          <w:rFonts w:ascii="Arial" w:eastAsia="Times New Roman" w:hAnsi="Arial" w:cs="Arial"/>
          <w:bCs/>
          <w:color w:val="000000"/>
          <w:sz w:val="20"/>
          <w:szCs w:val="20"/>
          <w:lang w:eastAsia="en-US"/>
        </w:rPr>
        <w:t>​</w:t>
      </w:r>
    </w:p>
    <w:p w14:paraId="795ECD1F" w14:textId="77777777" w:rsidR="003C3B94" w:rsidRPr="00624CD9" w:rsidRDefault="003C3B94" w:rsidP="003C3B94">
      <w:pPr>
        <w:spacing w:after="0" w:line="240" w:lineRule="auto"/>
        <w:ind w:left="360"/>
        <w:jc w:val="both"/>
        <w:textAlignment w:val="baseline"/>
        <w:rPr>
          <w:rFonts w:ascii="Trebuchet MS" w:eastAsia="Times New Roman" w:hAnsi="Trebuchet MS" w:cs="Calibri"/>
          <w:color w:val="000000"/>
          <w:sz w:val="20"/>
          <w:szCs w:val="20"/>
          <w:lang w:eastAsia="en-US"/>
        </w:rPr>
      </w:pPr>
      <w:r w:rsidRPr="00624CD9">
        <w:rPr>
          <w:rFonts w:ascii="Trebuchet MS" w:eastAsia="Times New Roman" w:hAnsi="Trebuchet MS" w:cs="Tahoma"/>
          <w:bCs/>
          <w:color w:val="000000"/>
          <w:sz w:val="20"/>
          <w:szCs w:val="20"/>
          <w:lang w:eastAsia="en-US"/>
        </w:rPr>
        <w:t>- rewinding the re-deployment of personnel to support the Covid-19 response; and </w:t>
      </w:r>
      <w:r w:rsidRPr="00624CD9">
        <w:rPr>
          <w:rFonts w:ascii="Arial" w:eastAsia="Times New Roman" w:hAnsi="Arial" w:cs="Arial"/>
          <w:bCs/>
          <w:color w:val="000000"/>
          <w:sz w:val="20"/>
          <w:szCs w:val="20"/>
          <w:lang w:eastAsia="en-US"/>
        </w:rPr>
        <w:t>​</w:t>
      </w:r>
    </w:p>
    <w:p w14:paraId="44F006F0" w14:textId="77777777" w:rsidR="003C3B94" w:rsidRPr="00624CD9" w:rsidRDefault="003C3B94" w:rsidP="003C3B94">
      <w:pPr>
        <w:spacing w:after="0" w:line="240" w:lineRule="auto"/>
        <w:ind w:left="360"/>
        <w:jc w:val="both"/>
        <w:textAlignment w:val="baseline"/>
        <w:rPr>
          <w:rFonts w:ascii="Trebuchet MS" w:eastAsia="Times New Roman" w:hAnsi="Trebuchet MS" w:cs="Calibri"/>
          <w:color w:val="000000"/>
          <w:sz w:val="20"/>
          <w:szCs w:val="20"/>
          <w:lang w:eastAsia="en-US"/>
        </w:rPr>
      </w:pPr>
      <w:r w:rsidRPr="00624CD9">
        <w:rPr>
          <w:rFonts w:ascii="Trebuchet MS" w:eastAsia="Times New Roman" w:hAnsi="Trebuchet MS" w:cs="Tahoma"/>
          <w:bCs/>
          <w:color w:val="000000"/>
          <w:sz w:val="20"/>
          <w:szCs w:val="20"/>
          <w:lang w:eastAsia="en-US"/>
        </w:rPr>
        <w:t>- supply chain disruption.</w:t>
      </w:r>
      <w:r w:rsidRPr="00624CD9">
        <w:rPr>
          <w:rFonts w:ascii="Trebuchet MS" w:eastAsia="Times New Roman" w:hAnsi="Trebuchet MS" w:cs="Tahoma"/>
          <w:b/>
          <w:bCs/>
          <w:color w:val="000000"/>
          <w:sz w:val="20"/>
          <w:szCs w:val="20"/>
          <w:lang w:eastAsia="en-US"/>
        </w:rPr>
        <w:t> </w:t>
      </w:r>
      <w:r w:rsidRPr="00624CD9">
        <w:rPr>
          <w:rFonts w:ascii="Arial" w:eastAsia="Times New Roman" w:hAnsi="Arial" w:cs="Arial"/>
          <w:b/>
          <w:bCs/>
          <w:color w:val="000000"/>
          <w:sz w:val="20"/>
          <w:szCs w:val="20"/>
          <w:lang w:eastAsia="en-US"/>
        </w:rPr>
        <w:t>​</w:t>
      </w:r>
    </w:p>
    <w:p w14:paraId="28181125" w14:textId="29CD33FD" w:rsidR="002831AA" w:rsidRPr="003C3B94" w:rsidRDefault="009917B4" w:rsidP="003C3B94">
      <w:pPr>
        <w:pStyle w:val="ListParagraph"/>
        <w:numPr>
          <w:ilvl w:val="0"/>
          <w:numId w:val="1"/>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Cabinet </w:t>
      </w:r>
      <w:r w:rsidR="00B95437">
        <w:rPr>
          <w:rFonts w:ascii="Trebuchet MS" w:eastAsia="Times New Roman" w:hAnsi="Trebuchet MS" w:cs="Calibri"/>
          <w:color w:val="000000"/>
          <w:sz w:val="20"/>
          <w:szCs w:val="20"/>
          <w:lang w:eastAsia="en-US"/>
        </w:rPr>
        <w:t>O</w:t>
      </w:r>
      <w:r w:rsidRPr="00BF318E">
        <w:rPr>
          <w:rFonts w:ascii="Trebuchet MS" w:eastAsia="Times New Roman" w:hAnsi="Trebuchet MS" w:cs="Calibri"/>
          <w:color w:val="000000"/>
          <w:sz w:val="20"/>
          <w:szCs w:val="20"/>
          <w:lang w:eastAsia="en-US"/>
        </w:rPr>
        <w:t>ffice and other guidance has indicated that the circumstances surrounding C</w:t>
      </w:r>
      <w:r w:rsidR="000A253E">
        <w:rPr>
          <w:rFonts w:ascii="Trebuchet MS" w:eastAsia="Times New Roman" w:hAnsi="Trebuchet MS" w:cs="Calibri"/>
          <w:color w:val="000000"/>
          <w:sz w:val="20"/>
          <w:szCs w:val="20"/>
          <w:lang w:eastAsia="en-US"/>
        </w:rPr>
        <w:t>ovid-19</w:t>
      </w:r>
      <w:r w:rsidRPr="00BF318E">
        <w:rPr>
          <w:rFonts w:ascii="Trebuchet MS" w:eastAsia="Times New Roman" w:hAnsi="Trebuchet MS" w:cs="Calibri"/>
          <w:color w:val="000000"/>
          <w:sz w:val="20"/>
          <w:szCs w:val="20"/>
          <w:lang w:eastAsia="en-US"/>
        </w:rPr>
        <w:t xml:space="preserve"> will/should be taken into account when considering legal liability (e.g. when looking at data breaches in the context of working from home,  GDPR and privacy limitations in the context of keeping employees safe via tools such as contact tracing and testing or where or challenges to the public procurement rules cases where public bodies seek to take advantage of the existing exemptions). However, often this is often seen as just guidance and not enshrined in law. It would, therefore, be beneficial if further legal / regulatory changes could be considered to provide certainty in relation to the ongoing situation.</w:t>
      </w:r>
    </w:p>
    <w:p w14:paraId="3BD440C8" w14:textId="77777777" w:rsidR="00773CF0" w:rsidRDefault="00F36363" w:rsidP="00D8347A">
      <w:pPr>
        <w:spacing w:after="0" w:line="240" w:lineRule="auto"/>
        <w:jc w:val="both"/>
        <w:textAlignment w:val="baseline"/>
        <w:rPr>
          <w:rFonts w:ascii="Trebuchet MS" w:eastAsia="Times New Roman" w:hAnsi="Trebuchet MS" w:cs="Calibri"/>
          <w:color w:val="000000"/>
          <w:sz w:val="20"/>
          <w:szCs w:val="20"/>
          <w:lang w:eastAsia="en-US"/>
        </w:rPr>
      </w:pPr>
      <w:r w:rsidRPr="00F36363">
        <w:rPr>
          <w:rFonts w:ascii="Trebuchet MS" w:eastAsia="Times New Roman" w:hAnsi="Trebuchet MS" w:cs="Tahoma"/>
          <w:b/>
          <w:bCs/>
          <w:color w:val="000000"/>
          <w:sz w:val="20"/>
          <w:szCs w:val="20"/>
          <w:lang w:eastAsia="en-US"/>
        </w:rPr>
        <w:t> </w:t>
      </w:r>
    </w:p>
    <w:p w14:paraId="4D375672" w14:textId="0DDFB0B6" w:rsidR="00BB5530" w:rsidRPr="008643AC" w:rsidRDefault="00BB5530" w:rsidP="00D8347A">
      <w:pPr>
        <w:spacing w:after="0" w:line="240" w:lineRule="auto"/>
        <w:jc w:val="both"/>
        <w:textAlignment w:val="baseline"/>
        <w:rPr>
          <w:rFonts w:ascii="Trebuchet MS" w:eastAsia="Times New Roman" w:hAnsi="Trebuchet MS" w:cs="Calibri"/>
          <w:b/>
          <w:color w:val="000000"/>
          <w:sz w:val="20"/>
          <w:szCs w:val="20"/>
          <w:lang w:eastAsia="en-US"/>
        </w:rPr>
      </w:pPr>
      <w:r w:rsidRPr="008643AC">
        <w:rPr>
          <w:rFonts w:ascii="Trebuchet MS" w:eastAsia="Times New Roman" w:hAnsi="Trebuchet MS" w:cs="Tahoma"/>
          <w:b/>
          <w:bCs/>
          <w:color w:val="000000"/>
          <w:sz w:val="20"/>
          <w:szCs w:val="20"/>
          <w:lang w:eastAsia="en-US"/>
        </w:rPr>
        <w:t>New Workplace &amp; Social Distancing Requirements</w:t>
      </w:r>
    </w:p>
    <w:p w14:paraId="5EFC1F04" w14:textId="77777777" w:rsidR="00BB5530" w:rsidRPr="00773CF0" w:rsidRDefault="00BB5530" w:rsidP="00D8347A">
      <w:pPr>
        <w:spacing w:after="0" w:line="240" w:lineRule="auto"/>
        <w:jc w:val="both"/>
        <w:textAlignment w:val="baseline"/>
        <w:rPr>
          <w:rFonts w:ascii="Trebuchet MS" w:eastAsia="Times New Roman" w:hAnsi="Trebuchet MS" w:cs="Tahoma"/>
          <w:bCs/>
          <w:color w:val="000000"/>
          <w:sz w:val="20"/>
          <w:szCs w:val="20"/>
          <w:lang w:eastAsia="en-US"/>
        </w:rPr>
      </w:pPr>
      <w:r w:rsidRPr="00773CF0">
        <w:rPr>
          <w:rFonts w:ascii="Trebuchet MS" w:eastAsia="Times New Roman" w:hAnsi="Trebuchet MS" w:cs="Tahoma"/>
          <w:bCs/>
          <w:color w:val="000000"/>
          <w:sz w:val="20"/>
          <w:szCs w:val="20"/>
          <w:lang w:eastAsia="en-US"/>
        </w:rPr>
        <w:t> </w:t>
      </w:r>
    </w:p>
    <w:p w14:paraId="17AA8FA8" w14:textId="5AD44F10" w:rsidR="00BB5530" w:rsidRPr="00BF318E" w:rsidRDefault="00BB5530" w:rsidP="00D8347A">
      <w:pPr>
        <w:pStyle w:val="ListParagraph"/>
        <w:numPr>
          <w:ilvl w:val="0"/>
          <w:numId w:val="22"/>
        </w:numPr>
        <w:spacing w:after="0" w:line="240" w:lineRule="auto"/>
        <w:ind w:left="360"/>
        <w:jc w:val="both"/>
        <w:textAlignment w:val="baseline"/>
        <w:rPr>
          <w:rFonts w:ascii="Trebuchet MS" w:eastAsia="Times New Roman" w:hAnsi="Trebuchet MS" w:cs="Calibri"/>
          <w:color w:val="000000"/>
          <w:sz w:val="20"/>
          <w:szCs w:val="20"/>
          <w:lang w:eastAsia="en-US"/>
        </w:rPr>
      </w:pPr>
      <w:r w:rsidRPr="00BF318E">
        <w:rPr>
          <w:rFonts w:ascii="Trebuchet MS" w:eastAsia="Times New Roman" w:hAnsi="Trebuchet MS" w:cs="Tahoma"/>
          <w:bCs/>
          <w:color w:val="000000"/>
          <w:sz w:val="20"/>
          <w:szCs w:val="20"/>
          <w:lang w:eastAsia="en-US"/>
        </w:rPr>
        <w:t>In order to comply and assure staff</w:t>
      </w:r>
      <w:r w:rsidR="008643AC">
        <w:rPr>
          <w:rFonts w:ascii="Trebuchet MS" w:eastAsia="Times New Roman" w:hAnsi="Trebuchet MS" w:cs="Tahoma"/>
          <w:bCs/>
          <w:color w:val="000000"/>
          <w:sz w:val="20"/>
          <w:szCs w:val="20"/>
          <w:lang w:eastAsia="en-US"/>
        </w:rPr>
        <w:t xml:space="preserve"> about safe working places</w:t>
      </w:r>
      <w:r w:rsidRPr="00BF318E">
        <w:rPr>
          <w:rFonts w:ascii="Trebuchet MS" w:eastAsia="Times New Roman" w:hAnsi="Trebuchet MS" w:cs="Tahoma"/>
          <w:bCs/>
          <w:color w:val="000000"/>
          <w:sz w:val="20"/>
          <w:szCs w:val="20"/>
          <w:lang w:eastAsia="en-US"/>
        </w:rPr>
        <w:t>, there may be a need for additional </w:t>
      </w:r>
      <w:proofErr w:type="spellStart"/>
      <w:r w:rsidRPr="00BF318E">
        <w:rPr>
          <w:rFonts w:ascii="Trebuchet MS" w:eastAsia="Times New Roman" w:hAnsi="Trebuchet MS" w:cs="Tahoma"/>
          <w:bCs/>
          <w:color w:val="000000"/>
          <w:sz w:val="20"/>
          <w:szCs w:val="20"/>
          <w:lang w:eastAsia="en-US"/>
        </w:rPr>
        <w:t>sq</w:t>
      </w:r>
      <w:proofErr w:type="spellEnd"/>
      <w:r w:rsidRPr="00BF318E">
        <w:rPr>
          <w:rFonts w:ascii="Trebuchet MS" w:eastAsia="Times New Roman" w:hAnsi="Trebuchet MS" w:cs="Tahoma"/>
          <w:bCs/>
          <w:color w:val="000000"/>
          <w:sz w:val="20"/>
          <w:szCs w:val="20"/>
          <w:lang w:eastAsia="en-US"/>
        </w:rPr>
        <w:t> ft capacity (whether office, depot or workshop) to enable social distancing – particularly in those workplaces where it is not possible for staff to work from home. Workplace premises and vehicles may also need to be reconfigured and even replaced to comply with requirements and ensure staff health and wellbeing. This could give rise to a significant cost for businesses (particularly those delivering front line public services) which need to maintain a large number of workplaces and for which home working isn't option. </w:t>
      </w:r>
      <w:r w:rsidRPr="00BF318E">
        <w:rPr>
          <w:rFonts w:ascii="Arial" w:eastAsia="Times New Roman" w:hAnsi="Arial" w:cs="Arial"/>
          <w:bCs/>
          <w:color w:val="000000"/>
          <w:sz w:val="20"/>
          <w:szCs w:val="20"/>
          <w:lang w:eastAsia="en-US"/>
        </w:rPr>
        <w:t>​</w:t>
      </w:r>
    </w:p>
    <w:p w14:paraId="08884317" w14:textId="6BF137A6" w:rsidR="00BB5530" w:rsidRPr="00BF318E" w:rsidRDefault="00BB5530" w:rsidP="00D8347A">
      <w:pPr>
        <w:pStyle w:val="ListParagraph"/>
        <w:numPr>
          <w:ilvl w:val="0"/>
          <w:numId w:val="22"/>
        </w:numPr>
        <w:spacing w:after="0" w:line="240" w:lineRule="auto"/>
        <w:ind w:left="360"/>
        <w:jc w:val="both"/>
        <w:textAlignment w:val="baseline"/>
        <w:rPr>
          <w:rFonts w:ascii="Trebuchet MS" w:eastAsia="Times New Roman" w:hAnsi="Trebuchet MS" w:cs="Calibri"/>
          <w:color w:val="000000"/>
          <w:sz w:val="20"/>
          <w:szCs w:val="20"/>
          <w:lang w:eastAsia="en-US"/>
        </w:rPr>
      </w:pPr>
      <w:r w:rsidRPr="00BF318E">
        <w:rPr>
          <w:rFonts w:ascii="Trebuchet MS" w:eastAsia="Times New Roman" w:hAnsi="Trebuchet MS" w:cs="Tahoma"/>
          <w:bCs/>
          <w:color w:val="000000"/>
          <w:sz w:val="20"/>
          <w:szCs w:val="20"/>
          <w:lang w:eastAsia="en-US"/>
        </w:rPr>
        <w:t xml:space="preserve">Trade Unions </w:t>
      </w:r>
      <w:r w:rsidR="0082477A">
        <w:rPr>
          <w:rFonts w:ascii="Trebuchet MS" w:eastAsia="Times New Roman" w:hAnsi="Trebuchet MS" w:cs="Tahoma"/>
          <w:bCs/>
          <w:color w:val="000000"/>
          <w:sz w:val="20"/>
          <w:szCs w:val="20"/>
          <w:lang w:eastAsia="en-US"/>
        </w:rPr>
        <w:t xml:space="preserve">are increasingly </w:t>
      </w:r>
      <w:r w:rsidRPr="00BF318E">
        <w:rPr>
          <w:rFonts w:ascii="Trebuchet MS" w:eastAsia="Times New Roman" w:hAnsi="Trebuchet MS" w:cs="Tahoma"/>
          <w:bCs/>
          <w:color w:val="000000"/>
          <w:sz w:val="20"/>
          <w:szCs w:val="20"/>
          <w:lang w:eastAsia="en-US"/>
        </w:rPr>
        <w:t>challenging the application of Gov</w:t>
      </w:r>
      <w:r w:rsidR="0082477A">
        <w:rPr>
          <w:rFonts w:ascii="Trebuchet MS" w:eastAsia="Times New Roman" w:hAnsi="Trebuchet MS" w:cs="Tahoma"/>
          <w:bCs/>
          <w:color w:val="000000"/>
          <w:sz w:val="20"/>
          <w:szCs w:val="20"/>
          <w:lang w:eastAsia="en-US"/>
        </w:rPr>
        <w:t>ernmen</w:t>
      </w:r>
      <w:r w:rsidRPr="00BF318E">
        <w:rPr>
          <w:rFonts w:ascii="Trebuchet MS" w:eastAsia="Times New Roman" w:hAnsi="Trebuchet MS" w:cs="Tahoma"/>
          <w:bCs/>
          <w:color w:val="000000"/>
          <w:sz w:val="20"/>
          <w:szCs w:val="20"/>
          <w:lang w:eastAsia="en-US"/>
        </w:rPr>
        <w:t xml:space="preserve">t guidance and </w:t>
      </w:r>
      <w:r w:rsidR="003630E1">
        <w:rPr>
          <w:rFonts w:ascii="Trebuchet MS" w:eastAsia="Times New Roman" w:hAnsi="Trebuchet MS" w:cs="Tahoma"/>
          <w:bCs/>
          <w:color w:val="000000"/>
          <w:sz w:val="20"/>
          <w:szCs w:val="20"/>
          <w:lang w:eastAsia="en-US"/>
        </w:rPr>
        <w:t xml:space="preserve">it is likely </w:t>
      </w:r>
      <w:r w:rsidRPr="00BF318E">
        <w:rPr>
          <w:rFonts w:ascii="Trebuchet MS" w:eastAsia="Times New Roman" w:hAnsi="Trebuchet MS" w:cs="Tahoma"/>
          <w:bCs/>
          <w:color w:val="000000"/>
          <w:sz w:val="20"/>
          <w:szCs w:val="20"/>
          <w:lang w:eastAsia="en-US"/>
        </w:rPr>
        <w:t xml:space="preserve">Trade Union engagement </w:t>
      </w:r>
      <w:r w:rsidR="003630E1">
        <w:rPr>
          <w:rFonts w:ascii="Trebuchet MS" w:eastAsia="Times New Roman" w:hAnsi="Trebuchet MS" w:cs="Tahoma"/>
          <w:bCs/>
          <w:color w:val="000000"/>
          <w:sz w:val="20"/>
          <w:szCs w:val="20"/>
          <w:lang w:eastAsia="en-US"/>
        </w:rPr>
        <w:t>will increase with</w:t>
      </w:r>
      <w:r w:rsidRPr="00BF318E">
        <w:rPr>
          <w:rFonts w:ascii="Trebuchet MS" w:eastAsia="Times New Roman" w:hAnsi="Trebuchet MS" w:cs="Tahoma"/>
          <w:bCs/>
          <w:color w:val="000000"/>
          <w:sz w:val="20"/>
          <w:szCs w:val="20"/>
          <w:lang w:eastAsia="en-US"/>
        </w:rPr>
        <w:t> operations returning to pre-Covid-19 levels and staff returning to the workplace. This will likely make it more challenging to quickly return to pre-Covid</w:t>
      </w:r>
      <w:r w:rsidR="003630E1">
        <w:rPr>
          <w:rFonts w:ascii="Trebuchet MS" w:eastAsia="Times New Roman" w:hAnsi="Trebuchet MS" w:cs="Tahoma"/>
          <w:bCs/>
          <w:color w:val="000000"/>
          <w:sz w:val="20"/>
          <w:szCs w:val="20"/>
          <w:lang w:eastAsia="en-US"/>
        </w:rPr>
        <w:t>-</w:t>
      </w:r>
      <w:r w:rsidRPr="00BF318E">
        <w:rPr>
          <w:rFonts w:ascii="Trebuchet MS" w:eastAsia="Times New Roman" w:hAnsi="Trebuchet MS" w:cs="Tahoma"/>
          <w:bCs/>
          <w:color w:val="000000"/>
          <w:sz w:val="20"/>
          <w:szCs w:val="20"/>
          <w:lang w:eastAsia="en-US"/>
        </w:rPr>
        <w:t>19 productivity levels.</w:t>
      </w:r>
    </w:p>
    <w:p w14:paraId="5BE0A5D1" w14:textId="77777777" w:rsidR="00BF318E" w:rsidRDefault="00BF318E" w:rsidP="00D8347A">
      <w:pPr>
        <w:spacing w:after="0" w:line="240" w:lineRule="auto"/>
        <w:jc w:val="both"/>
        <w:textAlignment w:val="baseline"/>
        <w:rPr>
          <w:rFonts w:ascii="Trebuchet MS" w:eastAsia="Times New Roman" w:hAnsi="Trebuchet MS" w:cs="Tahoma"/>
          <w:bCs/>
          <w:color w:val="000000"/>
          <w:sz w:val="20"/>
          <w:szCs w:val="20"/>
          <w:lang w:eastAsia="en-US"/>
        </w:rPr>
      </w:pPr>
    </w:p>
    <w:p w14:paraId="720B2ABF" w14:textId="77777777" w:rsidR="00BC511E" w:rsidRPr="00203542" w:rsidRDefault="00BC511E" w:rsidP="00BC511E">
      <w:pPr>
        <w:spacing w:line="240" w:lineRule="auto"/>
        <w:jc w:val="both"/>
        <w:rPr>
          <w:rFonts w:ascii="Trebuchet MS" w:hAnsi="Trebuchet MS" w:cstheme="minorHAnsi"/>
          <w:b/>
          <w:iCs/>
          <w:sz w:val="20"/>
          <w:szCs w:val="20"/>
        </w:rPr>
      </w:pPr>
      <w:r w:rsidRPr="00203542">
        <w:rPr>
          <w:rFonts w:ascii="Trebuchet MS" w:hAnsi="Trebuchet MS" w:cstheme="minorHAnsi"/>
          <w:b/>
          <w:iCs/>
          <w:sz w:val="20"/>
          <w:szCs w:val="20"/>
        </w:rPr>
        <w:t>Non-recovery of additional Covid-19 costs/charges</w:t>
      </w:r>
      <w:r w:rsidRPr="00203542">
        <w:rPr>
          <w:rFonts w:ascii="Trebuchet MS" w:eastAsia="Times New Roman" w:hAnsi="Trebuchet MS" w:cs="Tahoma"/>
          <w:b/>
          <w:color w:val="000000"/>
          <w:sz w:val="20"/>
          <w:szCs w:val="20"/>
          <w:lang w:eastAsia="en-US"/>
        </w:rPr>
        <w:t> </w:t>
      </w:r>
    </w:p>
    <w:p w14:paraId="3173C9D7" w14:textId="2357EE1B" w:rsidR="00BC511E" w:rsidRPr="00BF318E" w:rsidRDefault="00BC511E" w:rsidP="00BC511E">
      <w:pPr>
        <w:pStyle w:val="ListParagraph"/>
        <w:numPr>
          <w:ilvl w:val="0"/>
          <w:numId w:val="7"/>
        </w:numPr>
        <w:spacing w:after="0" w:line="240" w:lineRule="auto"/>
        <w:jc w:val="both"/>
        <w:rPr>
          <w:rFonts w:ascii="Trebuchet MS" w:eastAsia="Times New Roman" w:hAnsi="Trebuchet MS" w:cs="Calibri"/>
          <w:color w:val="000000" w:themeColor="text1"/>
          <w:sz w:val="20"/>
          <w:szCs w:val="20"/>
          <w:lang w:eastAsia="en-US"/>
        </w:rPr>
      </w:pPr>
      <w:r w:rsidRPr="00203542">
        <w:rPr>
          <w:rFonts w:ascii="Trebuchet MS" w:eastAsia="Times New Roman" w:hAnsi="Trebuchet MS" w:cs="Calibri"/>
          <w:color w:val="000000" w:themeColor="text1"/>
          <w:sz w:val="20"/>
          <w:szCs w:val="20"/>
          <w:lang w:eastAsia="en-US"/>
        </w:rPr>
        <w:t xml:space="preserve">Service </w:t>
      </w:r>
      <w:r w:rsidR="00806380">
        <w:rPr>
          <w:rFonts w:ascii="Trebuchet MS" w:eastAsia="Times New Roman" w:hAnsi="Trebuchet MS" w:cs="Calibri"/>
          <w:color w:val="000000" w:themeColor="text1"/>
          <w:sz w:val="20"/>
          <w:szCs w:val="20"/>
          <w:lang w:eastAsia="en-US"/>
        </w:rPr>
        <w:t>p</w:t>
      </w:r>
      <w:r w:rsidRPr="00203542">
        <w:rPr>
          <w:rFonts w:ascii="Trebuchet MS" w:eastAsia="Times New Roman" w:hAnsi="Trebuchet MS" w:cs="Calibri"/>
          <w:color w:val="000000" w:themeColor="text1"/>
          <w:sz w:val="20"/>
          <w:szCs w:val="20"/>
          <w:lang w:eastAsia="en-US"/>
        </w:rPr>
        <w:t>roviders have been requested/required to incur significant additional costs (particularly in relation to additional staff and consumables) and to implement a large number of service delivery changes to support the Covid-19 response effort. This is particularly true in the Health sector.</w:t>
      </w:r>
      <w:r w:rsidRPr="00203542">
        <w:rPr>
          <w:rFonts w:ascii="Arial" w:eastAsia="Times New Roman" w:hAnsi="Arial" w:cs="Arial"/>
          <w:color w:val="000000" w:themeColor="text1"/>
          <w:sz w:val="20"/>
          <w:szCs w:val="20"/>
          <w:lang w:eastAsia="en-US"/>
        </w:rPr>
        <w:t>​</w:t>
      </w:r>
    </w:p>
    <w:p w14:paraId="4212F8AC" w14:textId="77777777" w:rsidR="00BC511E" w:rsidRPr="00BF318E" w:rsidRDefault="00BC511E" w:rsidP="00BC511E">
      <w:pPr>
        <w:pStyle w:val="ListParagraph"/>
        <w:numPr>
          <w:ilvl w:val="0"/>
          <w:numId w:val="7"/>
        </w:numPr>
        <w:spacing w:after="0" w:line="240" w:lineRule="auto"/>
        <w:jc w:val="both"/>
        <w:rPr>
          <w:rFonts w:ascii="Trebuchet MS" w:eastAsia="Times New Roman" w:hAnsi="Trebuchet MS" w:cs="Calibri"/>
          <w:color w:val="000000" w:themeColor="text1"/>
          <w:sz w:val="20"/>
          <w:szCs w:val="20"/>
          <w:lang w:eastAsia="en-US"/>
        </w:rPr>
      </w:pPr>
      <w:r w:rsidRPr="00203542">
        <w:rPr>
          <w:rFonts w:ascii="Trebuchet MS" w:eastAsia="Times New Roman" w:hAnsi="Trebuchet MS" w:cs="Calibri"/>
          <w:color w:val="000000" w:themeColor="text1"/>
          <w:sz w:val="20"/>
          <w:szCs w:val="20"/>
          <w:lang w:eastAsia="en-US"/>
        </w:rPr>
        <w:t>It has not always been possible to promptly document binding written customer commitments to reimbursement of additional costs and/or contract variations in respect of service delivery changes. To date, central Gov</w:t>
      </w:r>
      <w:r>
        <w:rPr>
          <w:rFonts w:ascii="Trebuchet MS" w:eastAsia="Times New Roman" w:hAnsi="Trebuchet MS" w:cs="Calibri"/>
          <w:color w:val="000000" w:themeColor="text1"/>
          <w:sz w:val="20"/>
          <w:szCs w:val="20"/>
          <w:lang w:eastAsia="en-US"/>
        </w:rPr>
        <w:t>ernmen</w:t>
      </w:r>
      <w:r w:rsidRPr="00203542">
        <w:rPr>
          <w:rFonts w:ascii="Trebuchet MS" w:eastAsia="Times New Roman" w:hAnsi="Trebuchet MS" w:cs="Calibri"/>
          <w:color w:val="000000" w:themeColor="text1"/>
          <w:sz w:val="20"/>
          <w:szCs w:val="20"/>
          <w:lang w:eastAsia="en-US"/>
        </w:rPr>
        <w:t>t support and funding has made it possible for certain contracting authorities to commit to cover those costs and pay for additional services. However, going forward, there is a risk that additional costs will not be reimbursed (particularly given likely affordability challenges after central Gov</w:t>
      </w:r>
      <w:r>
        <w:rPr>
          <w:rFonts w:ascii="Trebuchet MS" w:eastAsia="Times New Roman" w:hAnsi="Trebuchet MS" w:cs="Calibri"/>
          <w:color w:val="000000" w:themeColor="text1"/>
          <w:sz w:val="20"/>
          <w:szCs w:val="20"/>
          <w:lang w:eastAsia="en-US"/>
        </w:rPr>
        <w:t>ernmen</w:t>
      </w:r>
      <w:r w:rsidRPr="00203542">
        <w:rPr>
          <w:rFonts w:ascii="Trebuchet MS" w:eastAsia="Times New Roman" w:hAnsi="Trebuchet MS" w:cs="Calibri"/>
          <w:color w:val="000000" w:themeColor="text1"/>
          <w:sz w:val="20"/>
          <w:szCs w:val="20"/>
          <w:lang w:eastAsia="en-US"/>
        </w:rPr>
        <w:t>t support is withdrawn), service changes will not be formally documented and verbal commitments/understandings during the crisis will not be </w:t>
      </w:r>
      <w:proofErr w:type="spellStart"/>
      <w:r w:rsidRPr="00203542">
        <w:rPr>
          <w:rFonts w:ascii="Trebuchet MS" w:eastAsia="Times New Roman" w:hAnsi="Trebuchet MS" w:cs="Calibri"/>
          <w:color w:val="000000" w:themeColor="text1"/>
          <w:sz w:val="20"/>
          <w:szCs w:val="20"/>
          <w:lang w:eastAsia="en-US"/>
        </w:rPr>
        <w:t>contractualised</w:t>
      </w:r>
      <w:proofErr w:type="spellEnd"/>
      <w:r w:rsidRPr="00203542">
        <w:rPr>
          <w:rFonts w:ascii="Trebuchet MS" w:eastAsia="Times New Roman" w:hAnsi="Trebuchet MS" w:cs="Calibri"/>
          <w:color w:val="000000" w:themeColor="text1"/>
          <w:sz w:val="20"/>
          <w:szCs w:val="20"/>
          <w:lang w:eastAsia="en-US"/>
        </w:rPr>
        <w:t>/implemented. </w:t>
      </w:r>
      <w:r w:rsidRPr="00203542">
        <w:rPr>
          <w:rFonts w:ascii="Arial" w:eastAsia="Times New Roman" w:hAnsi="Arial" w:cs="Arial"/>
          <w:color w:val="000000" w:themeColor="text1"/>
          <w:sz w:val="20"/>
          <w:szCs w:val="20"/>
          <w:lang w:eastAsia="en-US"/>
        </w:rPr>
        <w:t>​</w:t>
      </w:r>
    </w:p>
    <w:p w14:paraId="6CDAC7D5" w14:textId="77777777" w:rsidR="00BC511E" w:rsidRPr="008643AC" w:rsidRDefault="00BC511E" w:rsidP="00BC511E">
      <w:pPr>
        <w:pStyle w:val="ListParagraph"/>
        <w:numPr>
          <w:ilvl w:val="0"/>
          <w:numId w:val="7"/>
        </w:numPr>
        <w:spacing w:after="0" w:line="240" w:lineRule="auto"/>
        <w:jc w:val="both"/>
        <w:rPr>
          <w:rFonts w:ascii="Trebuchet MS" w:eastAsia="Times New Roman" w:hAnsi="Trebuchet MS" w:cs="Calibri"/>
          <w:color w:val="000000" w:themeColor="text1"/>
          <w:sz w:val="20"/>
          <w:szCs w:val="20"/>
          <w:lang w:eastAsia="en-US"/>
        </w:rPr>
      </w:pPr>
      <w:r w:rsidRPr="00203542">
        <w:rPr>
          <w:rFonts w:ascii="Trebuchet MS" w:eastAsia="Times New Roman" w:hAnsi="Trebuchet MS" w:cs="Calibri"/>
          <w:color w:val="000000" w:themeColor="text1"/>
          <w:sz w:val="20"/>
          <w:szCs w:val="20"/>
          <w:lang w:eastAsia="en-US"/>
        </w:rPr>
        <w:t>It is important that clear guidance and direction continues to be given to contracting authorities in this area (similar to that set out in the PPNs) as we move into the recovery phase.</w:t>
      </w:r>
      <w:r w:rsidRPr="00BF318E">
        <w:rPr>
          <w:rFonts w:ascii="Trebuchet MS" w:eastAsia="Times New Roman" w:hAnsi="Trebuchet MS" w:cs="Calibri"/>
          <w:color w:val="000000" w:themeColor="text1"/>
          <w:sz w:val="20"/>
          <w:szCs w:val="20"/>
          <w:lang w:eastAsia="en-US"/>
        </w:rPr>
        <w:t xml:space="preserve"> </w:t>
      </w:r>
      <w:r w:rsidRPr="00203542">
        <w:rPr>
          <w:rFonts w:ascii="Trebuchet MS" w:eastAsia="Times New Roman" w:hAnsi="Trebuchet MS" w:cs="Calibri"/>
          <w:color w:val="000000" w:themeColor="text1"/>
          <w:sz w:val="20"/>
          <w:szCs w:val="20"/>
          <w:lang w:eastAsia="en-US"/>
        </w:rPr>
        <w:t>Also, it is important that contracting authorities have the means to promptly reimburse suppliers for costs incurred and additional work carried out in connection with Covid-19.</w:t>
      </w:r>
    </w:p>
    <w:p w14:paraId="17812C7D" w14:textId="77777777" w:rsidR="00BC511E" w:rsidRDefault="00BC511E" w:rsidP="00D8347A">
      <w:pPr>
        <w:spacing w:after="0" w:line="240" w:lineRule="auto"/>
        <w:jc w:val="both"/>
        <w:textAlignment w:val="baseline"/>
        <w:rPr>
          <w:rFonts w:ascii="Trebuchet MS" w:eastAsia="Times New Roman" w:hAnsi="Trebuchet MS" w:cs="Tahoma"/>
          <w:b/>
          <w:bCs/>
          <w:color w:val="000000"/>
          <w:sz w:val="20"/>
          <w:szCs w:val="20"/>
          <w:lang w:eastAsia="en-US"/>
        </w:rPr>
      </w:pPr>
    </w:p>
    <w:p w14:paraId="5F543D76" w14:textId="20311F0E" w:rsidR="00BB5530" w:rsidRPr="003F3757" w:rsidRDefault="00BB5530" w:rsidP="00D8347A">
      <w:pPr>
        <w:spacing w:after="0" w:line="240" w:lineRule="auto"/>
        <w:jc w:val="both"/>
        <w:textAlignment w:val="baseline"/>
        <w:rPr>
          <w:rFonts w:ascii="Trebuchet MS" w:eastAsia="Times New Roman" w:hAnsi="Trebuchet MS" w:cs="Tahoma"/>
          <w:b/>
          <w:bCs/>
          <w:color w:val="000000"/>
          <w:sz w:val="20"/>
          <w:szCs w:val="20"/>
          <w:lang w:eastAsia="en-US"/>
        </w:rPr>
      </w:pPr>
      <w:r w:rsidRPr="003F3757">
        <w:rPr>
          <w:rFonts w:ascii="Trebuchet MS" w:eastAsia="Times New Roman" w:hAnsi="Trebuchet MS" w:cs="Tahoma"/>
          <w:b/>
          <w:bCs/>
          <w:color w:val="000000"/>
          <w:sz w:val="20"/>
          <w:szCs w:val="20"/>
          <w:lang w:eastAsia="en-US"/>
        </w:rPr>
        <w:t>Deferral of capital projects/asset renewals and reduction in variable works</w:t>
      </w:r>
    </w:p>
    <w:p w14:paraId="3DC6B6A7" w14:textId="77777777" w:rsidR="00BB5530" w:rsidRPr="00BB5530" w:rsidRDefault="00BB5530" w:rsidP="00D8347A">
      <w:pPr>
        <w:spacing w:after="0" w:line="240" w:lineRule="auto"/>
        <w:jc w:val="both"/>
        <w:textAlignment w:val="baseline"/>
        <w:rPr>
          <w:rFonts w:ascii="Trebuchet MS" w:eastAsia="Times New Roman" w:hAnsi="Trebuchet MS" w:cs="Calibri"/>
          <w:color w:val="000000"/>
          <w:sz w:val="20"/>
          <w:szCs w:val="20"/>
          <w:lang w:eastAsia="en-US"/>
        </w:rPr>
      </w:pPr>
      <w:r w:rsidRPr="00BB5530">
        <w:rPr>
          <w:rFonts w:ascii="Trebuchet MS" w:eastAsia="Times New Roman" w:hAnsi="Trebuchet MS" w:cs="Tahoma"/>
          <w:b/>
          <w:bCs/>
          <w:color w:val="000000"/>
          <w:sz w:val="20"/>
          <w:szCs w:val="20"/>
          <w:lang w:eastAsia="en-US"/>
        </w:rPr>
        <w:t> </w:t>
      </w:r>
    </w:p>
    <w:p w14:paraId="57676498" w14:textId="3C76699C" w:rsidR="00BF318E" w:rsidRPr="00BF318E" w:rsidRDefault="00BB5530" w:rsidP="00D8347A">
      <w:pPr>
        <w:pStyle w:val="ListParagraph"/>
        <w:numPr>
          <w:ilvl w:val="0"/>
          <w:numId w:val="22"/>
        </w:numPr>
        <w:spacing w:after="0" w:line="240" w:lineRule="auto"/>
        <w:ind w:left="360"/>
        <w:jc w:val="both"/>
        <w:textAlignment w:val="baseline"/>
        <w:rPr>
          <w:rFonts w:ascii="Trebuchet MS" w:eastAsia="Times New Roman" w:hAnsi="Trebuchet MS" w:cs="Tahoma"/>
          <w:bCs/>
          <w:color w:val="000000"/>
          <w:sz w:val="20"/>
          <w:szCs w:val="20"/>
          <w:lang w:eastAsia="en-US"/>
        </w:rPr>
      </w:pPr>
      <w:r w:rsidRPr="00BB5530">
        <w:rPr>
          <w:rFonts w:ascii="Trebuchet MS" w:eastAsia="Times New Roman" w:hAnsi="Trebuchet MS" w:cs="Tahoma"/>
          <w:bCs/>
          <w:color w:val="000000"/>
          <w:sz w:val="20"/>
          <w:szCs w:val="20"/>
          <w:lang w:eastAsia="en-US"/>
        </w:rPr>
        <w:t>We are already seeing Local Authorities paring back certain services to core essential services only. It is unlikely that LAs will be able or willing to revert to pre-Covid</w:t>
      </w:r>
      <w:r w:rsidR="004D18F9">
        <w:rPr>
          <w:rFonts w:ascii="Trebuchet MS" w:eastAsia="Times New Roman" w:hAnsi="Trebuchet MS" w:cs="Tahoma"/>
          <w:bCs/>
          <w:color w:val="000000"/>
          <w:sz w:val="20"/>
          <w:szCs w:val="20"/>
          <w:lang w:eastAsia="en-US"/>
        </w:rPr>
        <w:t>-</w:t>
      </w:r>
      <w:r w:rsidRPr="00BB5530">
        <w:rPr>
          <w:rFonts w:ascii="Trebuchet MS" w:eastAsia="Times New Roman" w:hAnsi="Trebuchet MS" w:cs="Tahoma"/>
          <w:bCs/>
          <w:color w:val="000000"/>
          <w:sz w:val="20"/>
          <w:szCs w:val="20"/>
          <w:lang w:eastAsia="en-US"/>
        </w:rPr>
        <w:t>19 service levels and volumes given inevitable budget constraints/affordability challenges.</w:t>
      </w:r>
      <w:r w:rsidRPr="00BB5530">
        <w:rPr>
          <w:rFonts w:ascii="Arial" w:eastAsia="Times New Roman" w:hAnsi="Arial" w:cs="Arial"/>
          <w:bCs/>
          <w:color w:val="000000"/>
          <w:sz w:val="20"/>
          <w:szCs w:val="20"/>
          <w:lang w:eastAsia="en-US"/>
        </w:rPr>
        <w:t>​</w:t>
      </w:r>
    </w:p>
    <w:p w14:paraId="3FA2BCD2" w14:textId="259F811D" w:rsidR="00BB5530" w:rsidRPr="00BF318E" w:rsidRDefault="00BB5530" w:rsidP="00D8347A">
      <w:pPr>
        <w:pStyle w:val="ListParagraph"/>
        <w:numPr>
          <w:ilvl w:val="0"/>
          <w:numId w:val="22"/>
        </w:numPr>
        <w:spacing w:after="0" w:line="240" w:lineRule="auto"/>
        <w:ind w:left="360"/>
        <w:jc w:val="both"/>
        <w:textAlignment w:val="baseline"/>
        <w:rPr>
          <w:rFonts w:ascii="Trebuchet MS" w:eastAsia="Times New Roman" w:hAnsi="Trebuchet MS" w:cs="Tahoma"/>
          <w:bCs/>
          <w:color w:val="000000"/>
          <w:sz w:val="20"/>
          <w:szCs w:val="20"/>
          <w:lang w:eastAsia="en-US"/>
        </w:rPr>
      </w:pPr>
      <w:r w:rsidRPr="00BB5530">
        <w:rPr>
          <w:rFonts w:ascii="Trebuchet MS" w:eastAsia="Times New Roman" w:hAnsi="Trebuchet MS" w:cs="Tahoma"/>
          <w:bCs/>
          <w:color w:val="000000"/>
          <w:sz w:val="20"/>
          <w:szCs w:val="20"/>
          <w:lang w:eastAsia="en-US"/>
        </w:rPr>
        <w:t>It is also anticipated that there will be a reduction in non-essential variable works and a deferral of capital works and asset renewals across Gov</w:t>
      </w:r>
      <w:r w:rsidR="004D18F9">
        <w:rPr>
          <w:rFonts w:ascii="Trebuchet MS" w:eastAsia="Times New Roman" w:hAnsi="Trebuchet MS" w:cs="Tahoma"/>
          <w:bCs/>
          <w:color w:val="000000"/>
          <w:sz w:val="20"/>
          <w:szCs w:val="20"/>
          <w:lang w:eastAsia="en-US"/>
        </w:rPr>
        <w:t>ernmen</w:t>
      </w:r>
      <w:r w:rsidRPr="00BB5530">
        <w:rPr>
          <w:rFonts w:ascii="Trebuchet MS" w:eastAsia="Times New Roman" w:hAnsi="Trebuchet MS" w:cs="Tahoma"/>
          <w:bCs/>
          <w:color w:val="000000"/>
          <w:sz w:val="20"/>
          <w:szCs w:val="20"/>
          <w:lang w:eastAsia="en-US"/>
        </w:rPr>
        <w:t>t contracts particularly PFIs.</w:t>
      </w:r>
    </w:p>
    <w:p w14:paraId="6132A565" w14:textId="52297C01" w:rsidR="00BB5530" w:rsidRPr="00BB5530" w:rsidRDefault="00BB5530" w:rsidP="00D8347A">
      <w:pPr>
        <w:pStyle w:val="ListParagraph"/>
        <w:numPr>
          <w:ilvl w:val="0"/>
          <w:numId w:val="22"/>
        </w:numPr>
        <w:spacing w:after="0" w:line="240" w:lineRule="auto"/>
        <w:ind w:left="360"/>
        <w:jc w:val="both"/>
        <w:textAlignment w:val="baseline"/>
        <w:rPr>
          <w:rFonts w:ascii="Trebuchet MS" w:eastAsia="Times New Roman" w:hAnsi="Trebuchet MS" w:cs="Tahoma"/>
          <w:bCs/>
          <w:color w:val="000000"/>
          <w:sz w:val="20"/>
          <w:szCs w:val="20"/>
          <w:lang w:eastAsia="en-US"/>
        </w:rPr>
      </w:pPr>
      <w:r w:rsidRPr="00BB5530">
        <w:rPr>
          <w:rFonts w:ascii="Trebuchet MS" w:eastAsia="Times New Roman" w:hAnsi="Trebuchet MS" w:cs="Tahoma"/>
          <w:bCs/>
          <w:color w:val="000000"/>
          <w:sz w:val="20"/>
          <w:szCs w:val="20"/>
          <w:lang w:eastAsia="en-US"/>
        </w:rPr>
        <w:t>The commercial assumptions and viability/profitability of many of these contracts for service providers is underpinned by pre-Covid</w:t>
      </w:r>
      <w:r w:rsidR="004D18F9">
        <w:rPr>
          <w:rFonts w:ascii="Trebuchet MS" w:eastAsia="Times New Roman" w:hAnsi="Trebuchet MS" w:cs="Tahoma"/>
          <w:bCs/>
          <w:color w:val="000000"/>
          <w:sz w:val="20"/>
          <w:szCs w:val="20"/>
          <w:lang w:eastAsia="en-US"/>
        </w:rPr>
        <w:t>-</w:t>
      </w:r>
      <w:r w:rsidRPr="00BB5530">
        <w:rPr>
          <w:rFonts w:ascii="Trebuchet MS" w:eastAsia="Times New Roman" w:hAnsi="Trebuchet MS" w:cs="Tahoma"/>
          <w:bCs/>
          <w:color w:val="000000"/>
          <w:sz w:val="20"/>
          <w:szCs w:val="20"/>
          <w:lang w:eastAsia="en-US"/>
        </w:rPr>
        <w:t>19 assumptions re</w:t>
      </w:r>
      <w:r w:rsidR="004D18F9">
        <w:rPr>
          <w:rFonts w:ascii="Trebuchet MS" w:eastAsia="Times New Roman" w:hAnsi="Trebuchet MS" w:cs="Tahoma"/>
          <w:bCs/>
          <w:color w:val="000000"/>
          <w:sz w:val="20"/>
          <w:szCs w:val="20"/>
          <w:lang w:eastAsia="en-US"/>
        </w:rPr>
        <w:t>garding</w:t>
      </w:r>
      <w:r w:rsidRPr="00BB5530">
        <w:rPr>
          <w:rFonts w:ascii="Trebuchet MS" w:eastAsia="Times New Roman" w:hAnsi="Trebuchet MS" w:cs="Tahoma"/>
          <w:bCs/>
          <w:color w:val="000000"/>
          <w:sz w:val="20"/>
          <w:szCs w:val="20"/>
          <w:lang w:eastAsia="en-US"/>
        </w:rPr>
        <w:t xml:space="preserve"> volumes of variable work and asset lifecycles. Therefore, there is a risk of reductions and deferrals in these areas giving rise to a negative impact on the economic viability of many Gov</w:t>
      </w:r>
      <w:r w:rsidR="004D18F9">
        <w:rPr>
          <w:rFonts w:ascii="Trebuchet MS" w:eastAsia="Times New Roman" w:hAnsi="Trebuchet MS" w:cs="Tahoma"/>
          <w:bCs/>
          <w:color w:val="000000"/>
          <w:sz w:val="20"/>
          <w:szCs w:val="20"/>
          <w:lang w:eastAsia="en-US"/>
        </w:rPr>
        <w:t>ernmen</w:t>
      </w:r>
      <w:r w:rsidRPr="00BB5530">
        <w:rPr>
          <w:rFonts w:ascii="Trebuchet MS" w:eastAsia="Times New Roman" w:hAnsi="Trebuchet MS" w:cs="Tahoma"/>
          <w:bCs/>
          <w:color w:val="000000"/>
          <w:sz w:val="20"/>
          <w:szCs w:val="20"/>
          <w:lang w:eastAsia="en-US"/>
        </w:rPr>
        <w:t>t services contracts.</w:t>
      </w:r>
    </w:p>
    <w:p w14:paraId="6EFFFD1D" w14:textId="64B3650C" w:rsidR="00BB5530" w:rsidRPr="00BC511E" w:rsidRDefault="00BB5530" w:rsidP="00D8347A">
      <w:pPr>
        <w:spacing w:after="0" w:line="240" w:lineRule="auto"/>
        <w:jc w:val="both"/>
        <w:textAlignment w:val="baseline"/>
        <w:rPr>
          <w:rFonts w:ascii="Trebuchet MS" w:eastAsia="Times New Roman" w:hAnsi="Trebuchet MS" w:cs="Tahoma"/>
          <w:b/>
          <w:bCs/>
          <w:color w:val="000000"/>
          <w:sz w:val="20"/>
          <w:szCs w:val="20"/>
          <w:lang w:eastAsia="en-US"/>
        </w:rPr>
      </w:pPr>
    </w:p>
    <w:p w14:paraId="65AF33FB" w14:textId="77777777" w:rsidR="003E043A" w:rsidRPr="003E043A" w:rsidRDefault="003E043A" w:rsidP="00D8347A">
      <w:pPr>
        <w:spacing w:after="0" w:line="240" w:lineRule="auto"/>
        <w:jc w:val="both"/>
        <w:textAlignment w:val="baseline"/>
        <w:rPr>
          <w:rFonts w:ascii="Trebuchet MS" w:eastAsia="Times New Roman" w:hAnsi="Trebuchet MS" w:cs="Tahoma"/>
          <w:b/>
          <w:bCs/>
          <w:color w:val="000000"/>
          <w:sz w:val="20"/>
          <w:szCs w:val="20"/>
          <w:lang w:eastAsia="en-US"/>
        </w:rPr>
      </w:pPr>
      <w:r w:rsidRPr="003E043A">
        <w:rPr>
          <w:rFonts w:ascii="Trebuchet MS" w:eastAsia="Times New Roman" w:hAnsi="Trebuchet MS" w:cs="Tahoma"/>
          <w:b/>
          <w:bCs/>
          <w:color w:val="000000"/>
          <w:sz w:val="20"/>
          <w:szCs w:val="20"/>
          <w:lang w:eastAsia="en-US"/>
        </w:rPr>
        <w:t>Inflation and Indexation Impact of Covid-19</w:t>
      </w:r>
    </w:p>
    <w:p w14:paraId="0D6A176D" w14:textId="77777777" w:rsidR="003E043A" w:rsidRPr="003E043A" w:rsidRDefault="003E043A" w:rsidP="00D8347A">
      <w:pPr>
        <w:spacing w:after="0" w:line="240" w:lineRule="auto"/>
        <w:jc w:val="both"/>
        <w:textAlignment w:val="baseline"/>
        <w:rPr>
          <w:rFonts w:ascii="Trebuchet MS" w:eastAsia="Times New Roman" w:hAnsi="Trebuchet MS" w:cs="Tahoma"/>
          <w:bCs/>
          <w:color w:val="000000"/>
          <w:sz w:val="20"/>
          <w:szCs w:val="20"/>
          <w:lang w:eastAsia="en-US"/>
        </w:rPr>
      </w:pPr>
      <w:r w:rsidRPr="003E043A">
        <w:rPr>
          <w:rFonts w:ascii="Trebuchet MS" w:eastAsia="Times New Roman" w:hAnsi="Trebuchet MS" w:cs="Tahoma"/>
          <w:bCs/>
          <w:color w:val="000000"/>
          <w:sz w:val="20"/>
          <w:szCs w:val="20"/>
          <w:lang w:eastAsia="en-US"/>
        </w:rPr>
        <w:t> </w:t>
      </w:r>
    </w:p>
    <w:p w14:paraId="4A4FA685" w14:textId="55E2F470" w:rsidR="003E043A" w:rsidRPr="00BF318E" w:rsidRDefault="003E043A" w:rsidP="00D8347A">
      <w:pPr>
        <w:pStyle w:val="ListParagraph"/>
        <w:numPr>
          <w:ilvl w:val="0"/>
          <w:numId w:val="23"/>
        </w:numPr>
        <w:spacing w:after="0" w:line="240" w:lineRule="auto"/>
        <w:ind w:left="360"/>
        <w:jc w:val="both"/>
        <w:textAlignment w:val="baseline"/>
        <w:rPr>
          <w:rFonts w:ascii="Trebuchet MS" w:eastAsia="Times New Roman" w:hAnsi="Trebuchet MS" w:cs="Calibri"/>
          <w:color w:val="000000"/>
          <w:sz w:val="20"/>
          <w:szCs w:val="20"/>
          <w:lang w:eastAsia="en-US"/>
        </w:rPr>
      </w:pPr>
      <w:r w:rsidRPr="00BF318E">
        <w:rPr>
          <w:rFonts w:ascii="Trebuchet MS" w:eastAsia="Times New Roman" w:hAnsi="Trebuchet MS" w:cs="Tahoma"/>
          <w:bCs/>
          <w:color w:val="000000"/>
          <w:sz w:val="20"/>
          <w:szCs w:val="20"/>
          <w:lang w:eastAsia="en-US"/>
        </w:rPr>
        <w:t>There is a risk of negative indexation applied to pricing given the potential deflationary impact of lockdown measures on standard economic metrics (e.g. CPI/RPI) used to balance cost increases with pricing. The cost bases of most public service providers is majority labour costs and those costs will not reduce with these metrics.   </w:t>
      </w:r>
      <w:r w:rsidRPr="00BF318E">
        <w:rPr>
          <w:rFonts w:ascii="Arial" w:eastAsia="Times New Roman" w:hAnsi="Arial" w:cs="Arial"/>
          <w:bCs/>
          <w:color w:val="000000"/>
          <w:sz w:val="20"/>
          <w:szCs w:val="20"/>
          <w:lang w:eastAsia="en-US"/>
        </w:rPr>
        <w:t>​</w:t>
      </w:r>
    </w:p>
    <w:p w14:paraId="53CE4DAF" w14:textId="5322C7CE" w:rsidR="003E043A" w:rsidRPr="00BF318E" w:rsidRDefault="003E043A" w:rsidP="00D8347A">
      <w:pPr>
        <w:pStyle w:val="ListParagraph"/>
        <w:numPr>
          <w:ilvl w:val="0"/>
          <w:numId w:val="23"/>
        </w:numPr>
        <w:spacing w:after="0" w:line="240" w:lineRule="auto"/>
        <w:ind w:left="360"/>
        <w:jc w:val="both"/>
        <w:rPr>
          <w:rFonts w:ascii="Trebuchet MS" w:eastAsia="Times New Roman" w:hAnsi="Trebuchet MS" w:cs="Calibri"/>
          <w:color w:val="000000"/>
          <w:sz w:val="20"/>
          <w:szCs w:val="20"/>
          <w:lang w:eastAsia="en-US"/>
        </w:rPr>
      </w:pPr>
      <w:r w:rsidRPr="00BF318E">
        <w:rPr>
          <w:rFonts w:ascii="Trebuchet MS" w:eastAsia="Times New Roman" w:hAnsi="Trebuchet MS" w:cs="Tahoma"/>
          <w:bCs/>
          <w:color w:val="000000"/>
          <w:sz w:val="20"/>
          <w:szCs w:val="20"/>
          <w:lang w:eastAsia="en-US"/>
        </w:rPr>
        <w:t>Also, there is a clear prospect of enduring public sector salary increases – particularly in the NHS. Any change in policy that results in increased pay for public sector workers will also give rise to additional non-budgeted salary costs for private companies who provide the same or similar services (e.g. support staff in hospitals, care workers or prison custody officers).</w:t>
      </w:r>
    </w:p>
    <w:p w14:paraId="2C8721FE" w14:textId="77777777" w:rsidR="003E043A" w:rsidRPr="00BF318E" w:rsidRDefault="003E043A" w:rsidP="00D8347A">
      <w:pPr>
        <w:pStyle w:val="ListParagraph"/>
        <w:numPr>
          <w:ilvl w:val="0"/>
          <w:numId w:val="23"/>
        </w:numPr>
        <w:spacing w:after="0" w:line="240" w:lineRule="auto"/>
        <w:ind w:left="360"/>
        <w:jc w:val="both"/>
        <w:rPr>
          <w:rFonts w:ascii="Trebuchet MS" w:eastAsia="Times New Roman" w:hAnsi="Trebuchet MS" w:cs="Calibri"/>
          <w:color w:val="000000"/>
          <w:sz w:val="20"/>
          <w:szCs w:val="20"/>
          <w:lang w:eastAsia="en-US"/>
        </w:rPr>
      </w:pPr>
      <w:r w:rsidRPr="00BF318E">
        <w:rPr>
          <w:rFonts w:ascii="Trebuchet MS" w:eastAsia="Times New Roman" w:hAnsi="Trebuchet MS" w:cs="Tahoma"/>
          <w:bCs/>
          <w:color w:val="000000"/>
          <w:sz w:val="20"/>
          <w:szCs w:val="20"/>
          <w:lang w:eastAsia="en-US"/>
        </w:rPr>
        <w:t>Appropriate consideration needs to be given to the impacts on those private sector providers (and the viability of the contracts under which they provide services) and any appropriate support/interventions that may be possible should be fully assessed prior to policy approval.</w:t>
      </w:r>
    </w:p>
    <w:p w14:paraId="572FEAEF" w14:textId="77777777" w:rsidR="003E043A" w:rsidRPr="003E043A" w:rsidRDefault="003E043A" w:rsidP="00D8347A">
      <w:pPr>
        <w:spacing w:after="0" w:line="240" w:lineRule="auto"/>
        <w:jc w:val="both"/>
        <w:rPr>
          <w:rFonts w:ascii="Trebuchet MS" w:eastAsia="Times New Roman" w:hAnsi="Trebuchet MS" w:cs="Calibri"/>
          <w:color w:val="000000"/>
          <w:sz w:val="20"/>
          <w:szCs w:val="20"/>
          <w:lang w:eastAsia="en-US"/>
        </w:rPr>
      </w:pPr>
      <w:r w:rsidRPr="003E043A">
        <w:rPr>
          <w:rFonts w:ascii="Trebuchet MS" w:eastAsia="Times New Roman" w:hAnsi="Trebuchet MS" w:cs="Calibri"/>
          <w:b/>
          <w:bCs/>
          <w:color w:val="000000"/>
          <w:sz w:val="20"/>
          <w:szCs w:val="20"/>
          <w:lang w:eastAsia="en-US"/>
        </w:rPr>
        <w:t> </w:t>
      </w:r>
    </w:p>
    <w:p w14:paraId="3AD84C0F" w14:textId="77777777" w:rsidR="003E043A" w:rsidRPr="00BC511E" w:rsidRDefault="003E043A" w:rsidP="00D8347A">
      <w:pPr>
        <w:spacing w:after="0" w:line="240" w:lineRule="auto"/>
        <w:jc w:val="both"/>
        <w:rPr>
          <w:rFonts w:ascii="Trebuchet MS" w:eastAsia="Times New Roman" w:hAnsi="Trebuchet MS" w:cs="Tahoma"/>
          <w:b/>
          <w:bCs/>
          <w:color w:val="000000"/>
          <w:sz w:val="20"/>
          <w:szCs w:val="20"/>
          <w:lang w:eastAsia="en-US"/>
        </w:rPr>
      </w:pPr>
      <w:r w:rsidRPr="00BC511E">
        <w:rPr>
          <w:rFonts w:ascii="Trebuchet MS" w:eastAsia="Times New Roman" w:hAnsi="Trebuchet MS" w:cs="Tahoma"/>
          <w:b/>
          <w:bCs/>
          <w:color w:val="000000"/>
          <w:sz w:val="20"/>
          <w:szCs w:val="20"/>
          <w:lang w:eastAsia="en-US"/>
        </w:rPr>
        <w:t>Insurance </w:t>
      </w:r>
    </w:p>
    <w:p w14:paraId="16EAA2A2" w14:textId="77777777" w:rsidR="003E043A" w:rsidRPr="003E043A" w:rsidRDefault="003E043A" w:rsidP="00D8347A">
      <w:pPr>
        <w:spacing w:after="0" w:line="240" w:lineRule="auto"/>
        <w:jc w:val="both"/>
        <w:textAlignment w:val="baseline"/>
        <w:rPr>
          <w:rFonts w:ascii="Trebuchet MS" w:eastAsia="Times New Roman" w:hAnsi="Trebuchet MS" w:cs="Calibri"/>
          <w:color w:val="000000"/>
          <w:sz w:val="20"/>
          <w:szCs w:val="20"/>
          <w:lang w:eastAsia="en-US"/>
        </w:rPr>
      </w:pPr>
      <w:r w:rsidRPr="003E043A">
        <w:rPr>
          <w:rFonts w:ascii="Trebuchet MS" w:eastAsia="Times New Roman" w:hAnsi="Trebuchet MS" w:cs="Tahoma"/>
          <w:b/>
          <w:bCs/>
          <w:color w:val="000000"/>
          <w:sz w:val="20"/>
          <w:szCs w:val="20"/>
          <w:lang w:eastAsia="en-US"/>
        </w:rPr>
        <w:t> </w:t>
      </w:r>
    </w:p>
    <w:p w14:paraId="0DAD8734" w14:textId="2BE732F5" w:rsidR="003E043A" w:rsidRPr="00BF318E" w:rsidRDefault="003E043A" w:rsidP="00D8347A">
      <w:pPr>
        <w:pStyle w:val="ListParagraph"/>
        <w:numPr>
          <w:ilvl w:val="0"/>
          <w:numId w:val="23"/>
        </w:numPr>
        <w:spacing w:after="0" w:line="240" w:lineRule="auto"/>
        <w:ind w:left="360"/>
        <w:jc w:val="both"/>
        <w:rPr>
          <w:rFonts w:ascii="Trebuchet MS" w:eastAsia="Times New Roman" w:hAnsi="Trebuchet MS" w:cs="Tahoma"/>
          <w:bCs/>
          <w:color w:val="000000"/>
          <w:sz w:val="20"/>
          <w:szCs w:val="20"/>
          <w:lang w:eastAsia="en-US"/>
        </w:rPr>
      </w:pPr>
      <w:r w:rsidRPr="003E043A">
        <w:rPr>
          <w:rFonts w:ascii="Trebuchet MS" w:eastAsia="Times New Roman" w:hAnsi="Trebuchet MS" w:cs="Tahoma"/>
          <w:bCs/>
          <w:color w:val="000000"/>
          <w:sz w:val="20"/>
          <w:szCs w:val="20"/>
          <w:lang w:eastAsia="en-US"/>
        </w:rPr>
        <w:t>An already hardening insurance market is being severely impacted by Covid-19. It is likely that the insurance cover that service providers to Gov</w:t>
      </w:r>
      <w:r w:rsidR="003261DB">
        <w:rPr>
          <w:rFonts w:ascii="Trebuchet MS" w:eastAsia="Times New Roman" w:hAnsi="Trebuchet MS" w:cs="Tahoma"/>
          <w:bCs/>
          <w:color w:val="000000"/>
          <w:sz w:val="20"/>
          <w:szCs w:val="20"/>
          <w:lang w:eastAsia="en-US"/>
        </w:rPr>
        <w:t>ernmen</w:t>
      </w:r>
      <w:r w:rsidRPr="003E043A">
        <w:rPr>
          <w:rFonts w:ascii="Trebuchet MS" w:eastAsia="Times New Roman" w:hAnsi="Trebuchet MS" w:cs="Tahoma"/>
          <w:bCs/>
          <w:color w:val="000000"/>
          <w:sz w:val="20"/>
          <w:szCs w:val="20"/>
          <w:lang w:eastAsia="en-US"/>
        </w:rPr>
        <w:t>t require to effectively manage its risk will become significantly more expensive and insurance deductibles will materially increase. There is also a possibility that certain risks may be become uninsurable by service provide.</w:t>
      </w:r>
      <w:r w:rsidRPr="003E043A">
        <w:rPr>
          <w:rFonts w:ascii="Arial" w:eastAsia="Times New Roman" w:hAnsi="Arial" w:cs="Arial"/>
          <w:bCs/>
          <w:color w:val="000000"/>
          <w:sz w:val="20"/>
          <w:szCs w:val="20"/>
          <w:lang w:eastAsia="en-US"/>
        </w:rPr>
        <w:t>​</w:t>
      </w:r>
    </w:p>
    <w:p w14:paraId="10B19B3C" w14:textId="00B9D976" w:rsidR="003E043A" w:rsidRPr="00BF318E" w:rsidRDefault="003E043A" w:rsidP="00D8347A">
      <w:pPr>
        <w:pStyle w:val="ListParagraph"/>
        <w:numPr>
          <w:ilvl w:val="0"/>
          <w:numId w:val="23"/>
        </w:numPr>
        <w:spacing w:after="0" w:line="240" w:lineRule="auto"/>
        <w:ind w:left="360"/>
        <w:jc w:val="both"/>
        <w:rPr>
          <w:rFonts w:ascii="Trebuchet MS" w:eastAsia="Times New Roman" w:hAnsi="Trebuchet MS" w:cs="Tahoma"/>
          <w:bCs/>
          <w:color w:val="000000"/>
          <w:sz w:val="20"/>
          <w:szCs w:val="20"/>
          <w:lang w:eastAsia="en-US"/>
        </w:rPr>
      </w:pPr>
      <w:r w:rsidRPr="003E043A">
        <w:rPr>
          <w:rFonts w:ascii="Trebuchet MS" w:eastAsia="Times New Roman" w:hAnsi="Trebuchet MS" w:cs="Tahoma"/>
          <w:bCs/>
          <w:color w:val="000000"/>
          <w:sz w:val="20"/>
          <w:szCs w:val="20"/>
          <w:lang w:eastAsia="en-US"/>
        </w:rPr>
        <w:t>Therefore, it is likely that the cost of risk transfer to service providers by Gov</w:t>
      </w:r>
      <w:r w:rsidR="00BC2EAA">
        <w:rPr>
          <w:rFonts w:ascii="Trebuchet MS" w:eastAsia="Times New Roman" w:hAnsi="Trebuchet MS" w:cs="Tahoma"/>
          <w:bCs/>
          <w:color w:val="000000"/>
          <w:sz w:val="20"/>
          <w:szCs w:val="20"/>
          <w:lang w:eastAsia="en-US"/>
        </w:rPr>
        <w:t>ernmen</w:t>
      </w:r>
      <w:r w:rsidRPr="003E043A">
        <w:rPr>
          <w:rFonts w:ascii="Trebuchet MS" w:eastAsia="Times New Roman" w:hAnsi="Trebuchet MS" w:cs="Tahoma"/>
          <w:bCs/>
          <w:color w:val="000000"/>
          <w:sz w:val="20"/>
          <w:szCs w:val="20"/>
          <w:lang w:eastAsia="en-US"/>
        </w:rPr>
        <w:t>t will increase and, in certain cases, may no longer be possible for service providers to accept.</w:t>
      </w:r>
      <w:r w:rsidRPr="003E043A">
        <w:rPr>
          <w:rFonts w:ascii="Arial" w:eastAsia="Times New Roman" w:hAnsi="Arial" w:cs="Arial"/>
          <w:bCs/>
          <w:color w:val="000000"/>
          <w:sz w:val="20"/>
          <w:szCs w:val="20"/>
          <w:lang w:eastAsia="en-US"/>
        </w:rPr>
        <w:t>​</w:t>
      </w:r>
      <w:r w:rsidRPr="003E043A">
        <w:rPr>
          <w:rFonts w:ascii="Trebuchet MS" w:eastAsia="Times New Roman" w:hAnsi="Trebuchet MS" w:cs="Tahoma"/>
          <w:bCs/>
          <w:color w:val="000000"/>
          <w:sz w:val="20"/>
          <w:szCs w:val="20"/>
          <w:lang w:eastAsia="en-US"/>
        </w:rPr>
        <w:t xml:space="preserve"> This may lead to an inability or a reduced appetite among service providers to bid for high risk services and/or accept risk transfer of the type typically preferred by Gov</w:t>
      </w:r>
      <w:r w:rsidR="00321302">
        <w:rPr>
          <w:rFonts w:ascii="Trebuchet MS" w:eastAsia="Times New Roman" w:hAnsi="Trebuchet MS" w:cs="Tahoma"/>
          <w:bCs/>
          <w:color w:val="000000"/>
          <w:sz w:val="20"/>
          <w:szCs w:val="20"/>
          <w:lang w:eastAsia="en-US"/>
        </w:rPr>
        <w:t>ernmen</w:t>
      </w:r>
      <w:r w:rsidRPr="003E043A">
        <w:rPr>
          <w:rFonts w:ascii="Trebuchet MS" w:eastAsia="Times New Roman" w:hAnsi="Trebuchet MS" w:cs="Tahoma"/>
          <w:bCs/>
          <w:color w:val="000000"/>
          <w:sz w:val="20"/>
          <w:szCs w:val="20"/>
          <w:lang w:eastAsia="en-US"/>
        </w:rPr>
        <w:t>t (or alternatively lead to more risk pricing and reduced Value for Money). It also further emphasises the need for consistent implementation of playbook guidance on risk allocation and further specific guidance on risk and insurance</w:t>
      </w:r>
      <w:r w:rsidRPr="003E043A">
        <w:rPr>
          <w:rFonts w:ascii="Arial" w:eastAsia="Times New Roman" w:hAnsi="Arial" w:cs="Arial"/>
          <w:bCs/>
          <w:color w:val="000000"/>
          <w:sz w:val="20"/>
          <w:szCs w:val="20"/>
          <w:lang w:eastAsia="en-US"/>
        </w:rPr>
        <w:t>​</w:t>
      </w:r>
      <w:r w:rsidRPr="003E043A">
        <w:rPr>
          <w:rFonts w:ascii="Trebuchet MS" w:eastAsia="Times New Roman" w:hAnsi="Trebuchet MS" w:cs="Tahoma"/>
          <w:bCs/>
          <w:color w:val="000000"/>
          <w:sz w:val="20"/>
          <w:szCs w:val="20"/>
          <w:lang w:eastAsia="en-US"/>
        </w:rPr>
        <w:t>.</w:t>
      </w:r>
    </w:p>
    <w:p w14:paraId="089D0ED0" w14:textId="1540E76F" w:rsidR="003E043A" w:rsidRPr="003E043A" w:rsidRDefault="003E043A" w:rsidP="00D8347A">
      <w:pPr>
        <w:pStyle w:val="ListParagraph"/>
        <w:numPr>
          <w:ilvl w:val="0"/>
          <w:numId w:val="23"/>
        </w:numPr>
        <w:spacing w:after="0" w:line="240" w:lineRule="auto"/>
        <w:ind w:left="360"/>
        <w:jc w:val="both"/>
        <w:rPr>
          <w:rFonts w:ascii="Trebuchet MS" w:eastAsia="Times New Roman" w:hAnsi="Trebuchet MS" w:cs="Tahoma"/>
          <w:bCs/>
          <w:color w:val="000000"/>
          <w:sz w:val="20"/>
          <w:szCs w:val="20"/>
          <w:lang w:eastAsia="en-US"/>
        </w:rPr>
      </w:pPr>
      <w:r w:rsidRPr="003E043A">
        <w:rPr>
          <w:rFonts w:ascii="Trebuchet MS" w:eastAsia="Times New Roman" w:hAnsi="Trebuchet MS" w:cs="Tahoma"/>
          <w:bCs/>
          <w:color w:val="000000"/>
          <w:sz w:val="20"/>
          <w:szCs w:val="20"/>
          <w:lang w:eastAsia="en-US"/>
        </w:rPr>
        <w:t xml:space="preserve">It also raises the prospect of insurances required to effectively manage risk currently borne under existing contracts becoming prohibitively expensive or even uninsurable. This would give rise to increased service delivery costs on many contracts which already deliver precariously low margins and the need for service providers to re-visit and potentially seek to re-negotiate the terms of their existing contracts for reasons of </w:t>
      </w:r>
      <w:proofErr w:type="spellStart"/>
      <w:r w:rsidRPr="003E043A">
        <w:rPr>
          <w:rFonts w:ascii="Trebuchet MS" w:eastAsia="Times New Roman" w:hAnsi="Trebuchet MS" w:cs="Tahoma"/>
          <w:bCs/>
          <w:color w:val="000000"/>
          <w:sz w:val="20"/>
          <w:szCs w:val="20"/>
          <w:lang w:eastAsia="en-US"/>
        </w:rPr>
        <w:t>uninsurabili</w:t>
      </w:r>
      <w:r w:rsidRPr="00BF318E">
        <w:rPr>
          <w:rFonts w:ascii="Trebuchet MS" w:eastAsia="Times New Roman" w:hAnsi="Trebuchet MS" w:cs="Tahoma"/>
          <w:bCs/>
          <w:color w:val="000000"/>
          <w:sz w:val="20"/>
          <w:szCs w:val="20"/>
          <w:lang w:eastAsia="en-US"/>
        </w:rPr>
        <w:t>ty</w:t>
      </w:r>
      <w:proofErr w:type="spellEnd"/>
      <w:r w:rsidRPr="00BF318E">
        <w:rPr>
          <w:rFonts w:ascii="Trebuchet MS" w:eastAsia="Times New Roman" w:hAnsi="Trebuchet MS" w:cs="Tahoma"/>
          <w:bCs/>
          <w:color w:val="000000"/>
          <w:sz w:val="20"/>
          <w:szCs w:val="20"/>
          <w:lang w:eastAsia="en-US"/>
        </w:rPr>
        <w:t xml:space="preserve">. </w:t>
      </w:r>
    </w:p>
    <w:p w14:paraId="3F04D33F" w14:textId="62C3590C" w:rsidR="00F36363" w:rsidRPr="00BF318E" w:rsidRDefault="00F36363" w:rsidP="00D8347A">
      <w:pPr>
        <w:spacing w:after="0" w:line="240" w:lineRule="auto"/>
        <w:jc w:val="both"/>
        <w:rPr>
          <w:rFonts w:ascii="Trebuchet MS" w:eastAsia="Times New Roman" w:hAnsi="Trebuchet MS" w:cs="Calibri"/>
          <w:color w:val="000000"/>
          <w:sz w:val="20"/>
          <w:szCs w:val="20"/>
          <w:lang w:eastAsia="en-US"/>
        </w:rPr>
      </w:pPr>
    </w:p>
    <w:p w14:paraId="0B6B4B80" w14:textId="77777777" w:rsidR="00624CD9" w:rsidRPr="00624CD9" w:rsidRDefault="00624CD9" w:rsidP="00D8347A">
      <w:pPr>
        <w:spacing w:after="0" w:line="240" w:lineRule="auto"/>
        <w:jc w:val="both"/>
        <w:rPr>
          <w:rFonts w:ascii="Trebuchet MS" w:eastAsia="Times New Roman" w:hAnsi="Trebuchet MS" w:cs="Tahoma"/>
          <w:b/>
          <w:bCs/>
          <w:color w:val="000000"/>
          <w:sz w:val="20"/>
          <w:szCs w:val="20"/>
          <w:lang w:eastAsia="en-US"/>
        </w:rPr>
      </w:pPr>
      <w:r w:rsidRPr="00624CD9">
        <w:rPr>
          <w:rFonts w:ascii="Trebuchet MS" w:eastAsia="Times New Roman" w:hAnsi="Trebuchet MS" w:cs="Tahoma"/>
          <w:b/>
          <w:bCs/>
          <w:color w:val="000000"/>
          <w:sz w:val="20"/>
          <w:szCs w:val="20"/>
          <w:lang w:eastAsia="en-US"/>
        </w:rPr>
        <w:t>Covid-19 related litigation and regulatory non-compliance</w:t>
      </w:r>
    </w:p>
    <w:p w14:paraId="2E3C2014" w14:textId="1BF10120" w:rsidR="00624CD9" w:rsidRPr="00624CD9" w:rsidRDefault="00624CD9" w:rsidP="00D8347A">
      <w:pPr>
        <w:pStyle w:val="ListParagraph"/>
        <w:spacing w:after="0" w:line="240" w:lineRule="auto"/>
        <w:ind w:left="360"/>
        <w:jc w:val="both"/>
        <w:rPr>
          <w:rFonts w:ascii="Trebuchet MS" w:eastAsia="Times New Roman" w:hAnsi="Trebuchet MS" w:cs="Tahoma"/>
          <w:bCs/>
          <w:color w:val="000000"/>
          <w:sz w:val="20"/>
          <w:szCs w:val="20"/>
          <w:lang w:eastAsia="en-US"/>
        </w:rPr>
      </w:pPr>
    </w:p>
    <w:p w14:paraId="53A76A0B" w14:textId="77777777" w:rsidR="00624CD9" w:rsidRPr="00624CD9" w:rsidRDefault="00624CD9" w:rsidP="00D8347A">
      <w:pPr>
        <w:pStyle w:val="ListParagraph"/>
        <w:numPr>
          <w:ilvl w:val="0"/>
          <w:numId w:val="23"/>
        </w:numPr>
        <w:spacing w:after="0" w:line="240" w:lineRule="auto"/>
        <w:ind w:left="360"/>
        <w:jc w:val="both"/>
        <w:rPr>
          <w:rFonts w:ascii="Trebuchet MS" w:eastAsia="Times New Roman" w:hAnsi="Trebuchet MS" w:cs="Tahoma"/>
          <w:bCs/>
          <w:color w:val="000000"/>
          <w:sz w:val="20"/>
          <w:szCs w:val="20"/>
          <w:lang w:eastAsia="en-US"/>
        </w:rPr>
      </w:pPr>
      <w:r w:rsidRPr="00624CD9">
        <w:rPr>
          <w:rFonts w:ascii="Trebuchet MS" w:eastAsia="Times New Roman" w:hAnsi="Trebuchet MS" w:cs="Tahoma"/>
          <w:bCs/>
          <w:color w:val="000000"/>
          <w:sz w:val="20"/>
          <w:szCs w:val="20"/>
          <w:lang w:eastAsia="en-US"/>
        </w:rPr>
        <w:t>It is anticipated that Covid-19 will lead to increased legal and regulatory activity and risk for businesses. This is likely to include:</w:t>
      </w:r>
      <w:r w:rsidRPr="00624CD9">
        <w:rPr>
          <w:rFonts w:ascii="Arial" w:eastAsia="Times New Roman" w:hAnsi="Arial" w:cs="Arial"/>
          <w:bCs/>
          <w:color w:val="000000"/>
          <w:sz w:val="20"/>
          <w:szCs w:val="20"/>
          <w:lang w:eastAsia="en-US"/>
        </w:rPr>
        <w:t>​</w:t>
      </w:r>
    </w:p>
    <w:p w14:paraId="589C0C79" w14:textId="431E4B43" w:rsidR="00624CD9" w:rsidRPr="00624CD9" w:rsidRDefault="00624CD9" w:rsidP="00D8347A">
      <w:pPr>
        <w:pStyle w:val="ListParagraph"/>
        <w:numPr>
          <w:ilvl w:val="0"/>
          <w:numId w:val="24"/>
        </w:numPr>
        <w:spacing w:after="0" w:line="240" w:lineRule="auto"/>
        <w:jc w:val="both"/>
        <w:rPr>
          <w:rFonts w:ascii="Trebuchet MS" w:eastAsia="Times New Roman" w:hAnsi="Trebuchet MS" w:cs="Tahoma"/>
          <w:bCs/>
          <w:color w:val="000000"/>
          <w:sz w:val="20"/>
          <w:szCs w:val="20"/>
          <w:lang w:eastAsia="en-US"/>
        </w:rPr>
      </w:pPr>
      <w:r w:rsidRPr="00624CD9">
        <w:rPr>
          <w:rFonts w:ascii="Trebuchet MS" w:eastAsia="Times New Roman" w:hAnsi="Trebuchet MS" w:cs="Tahoma"/>
          <w:bCs/>
          <w:color w:val="000000"/>
          <w:sz w:val="20"/>
          <w:szCs w:val="20"/>
          <w:lang w:eastAsia="en-US"/>
        </w:rPr>
        <w:t>increases in claims against employers and industrial relations issues </w:t>
      </w:r>
      <w:r w:rsidRPr="00624CD9">
        <w:rPr>
          <w:rFonts w:ascii="Arial" w:eastAsia="Times New Roman" w:hAnsi="Arial" w:cs="Arial"/>
          <w:bCs/>
          <w:color w:val="000000"/>
          <w:sz w:val="20"/>
          <w:szCs w:val="20"/>
          <w:lang w:eastAsia="en-US"/>
        </w:rPr>
        <w:t>​</w:t>
      </w:r>
    </w:p>
    <w:p w14:paraId="75976E0C" w14:textId="5DE2E7B1" w:rsidR="00624CD9" w:rsidRPr="00624CD9" w:rsidRDefault="00624CD9" w:rsidP="00D8347A">
      <w:pPr>
        <w:pStyle w:val="ListParagraph"/>
        <w:numPr>
          <w:ilvl w:val="0"/>
          <w:numId w:val="24"/>
        </w:numPr>
        <w:spacing w:after="0" w:line="240" w:lineRule="auto"/>
        <w:jc w:val="both"/>
        <w:rPr>
          <w:rFonts w:ascii="Trebuchet MS" w:eastAsia="Times New Roman" w:hAnsi="Trebuchet MS" w:cs="Tahoma"/>
          <w:bCs/>
          <w:color w:val="000000"/>
          <w:sz w:val="20"/>
          <w:szCs w:val="20"/>
          <w:lang w:eastAsia="en-US"/>
        </w:rPr>
      </w:pPr>
      <w:r w:rsidRPr="00624CD9">
        <w:rPr>
          <w:rFonts w:ascii="Trebuchet MS" w:eastAsia="Times New Roman" w:hAnsi="Trebuchet MS" w:cs="Tahoma"/>
          <w:bCs/>
          <w:color w:val="000000"/>
          <w:sz w:val="20"/>
          <w:szCs w:val="20"/>
          <w:lang w:eastAsia="en-US"/>
        </w:rPr>
        <w:t>public liability claims against providers of public services</w:t>
      </w:r>
      <w:r w:rsidRPr="00624CD9">
        <w:rPr>
          <w:rFonts w:ascii="Arial" w:eastAsia="Times New Roman" w:hAnsi="Arial" w:cs="Arial"/>
          <w:bCs/>
          <w:color w:val="000000"/>
          <w:sz w:val="20"/>
          <w:szCs w:val="20"/>
          <w:lang w:eastAsia="en-US"/>
        </w:rPr>
        <w:t>​</w:t>
      </w:r>
    </w:p>
    <w:p w14:paraId="4D65B85F" w14:textId="66D96429" w:rsidR="00624CD9" w:rsidRPr="00624CD9" w:rsidRDefault="00624CD9" w:rsidP="00D8347A">
      <w:pPr>
        <w:pStyle w:val="ListParagraph"/>
        <w:numPr>
          <w:ilvl w:val="0"/>
          <w:numId w:val="24"/>
        </w:numPr>
        <w:spacing w:after="0" w:line="240" w:lineRule="auto"/>
        <w:jc w:val="both"/>
        <w:rPr>
          <w:rFonts w:ascii="Trebuchet MS" w:eastAsia="Times New Roman" w:hAnsi="Trebuchet MS" w:cs="Tahoma"/>
          <w:bCs/>
          <w:color w:val="000000"/>
          <w:sz w:val="20"/>
          <w:szCs w:val="20"/>
          <w:lang w:eastAsia="en-US"/>
        </w:rPr>
      </w:pPr>
      <w:r w:rsidRPr="00624CD9">
        <w:rPr>
          <w:rFonts w:ascii="Trebuchet MS" w:eastAsia="Times New Roman" w:hAnsi="Trebuchet MS" w:cs="Tahoma"/>
          <w:bCs/>
          <w:color w:val="000000"/>
          <w:sz w:val="20"/>
          <w:szCs w:val="20"/>
          <w:lang w:eastAsia="en-US"/>
        </w:rPr>
        <w:t>conflicting interpretations of fast-tracked Covid-19 legislation and guidance which will give rise to disputes</w:t>
      </w:r>
      <w:r w:rsidRPr="00624CD9">
        <w:rPr>
          <w:rFonts w:ascii="Arial" w:eastAsia="Times New Roman" w:hAnsi="Arial" w:cs="Arial"/>
          <w:bCs/>
          <w:color w:val="000000"/>
          <w:sz w:val="20"/>
          <w:szCs w:val="20"/>
          <w:lang w:eastAsia="en-US"/>
        </w:rPr>
        <w:t>​</w:t>
      </w:r>
    </w:p>
    <w:p w14:paraId="1F693EAE" w14:textId="2EFE3ABB" w:rsidR="00624CD9" w:rsidRPr="00BF318E" w:rsidRDefault="00624CD9" w:rsidP="00D8347A">
      <w:pPr>
        <w:pStyle w:val="ListParagraph"/>
        <w:numPr>
          <w:ilvl w:val="0"/>
          <w:numId w:val="24"/>
        </w:numPr>
        <w:spacing w:after="0" w:line="240" w:lineRule="auto"/>
        <w:jc w:val="both"/>
        <w:rPr>
          <w:rFonts w:ascii="Trebuchet MS" w:eastAsia="Times New Roman" w:hAnsi="Trebuchet MS" w:cs="Tahoma"/>
          <w:bCs/>
          <w:color w:val="000000"/>
          <w:sz w:val="20"/>
          <w:szCs w:val="20"/>
          <w:lang w:eastAsia="en-US"/>
        </w:rPr>
      </w:pPr>
      <w:r w:rsidRPr="00624CD9">
        <w:rPr>
          <w:rFonts w:ascii="Trebuchet MS" w:eastAsia="Times New Roman" w:hAnsi="Trebuchet MS" w:cs="Tahoma"/>
          <w:bCs/>
          <w:color w:val="000000"/>
          <w:sz w:val="20"/>
          <w:szCs w:val="20"/>
          <w:lang w:eastAsia="en-US"/>
        </w:rPr>
        <w:t>further iterations of fast-track complex Covid-19 legislation and guidance which requires interpretation and compliance</w:t>
      </w:r>
    </w:p>
    <w:p w14:paraId="239656BB" w14:textId="658CAFC3" w:rsidR="00624CD9" w:rsidRPr="00624CD9" w:rsidRDefault="00624CD9" w:rsidP="00D8347A">
      <w:pPr>
        <w:pStyle w:val="ListParagraph"/>
        <w:numPr>
          <w:ilvl w:val="0"/>
          <w:numId w:val="23"/>
        </w:numPr>
        <w:spacing w:after="0" w:line="240" w:lineRule="auto"/>
        <w:ind w:left="360"/>
        <w:jc w:val="both"/>
        <w:rPr>
          <w:rFonts w:ascii="Trebuchet MS" w:eastAsia="Times New Roman" w:hAnsi="Trebuchet MS" w:cs="Tahoma"/>
          <w:bCs/>
          <w:color w:val="000000"/>
          <w:sz w:val="20"/>
          <w:szCs w:val="20"/>
          <w:lang w:eastAsia="en-US"/>
        </w:rPr>
      </w:pPr>
      <w:r w:rsidRPr="00624CD9">
        <w:rPr>
          <w:rFonts w:ascii="Trebuchet MS" w:eastAsia="Times New Roman" w:hAnsi="Trebuchet MS" w:cs="Tahoma"/>
          <w:bCs/>
          <w:color w:val="000000"/>
          <w:sz w:val="20"/>
          <w:szCs w:val="20"/>
          <w:lang w:eastAsia="en-US"/>
        </w:rPr>
        <w:t>Again, this will likely add to the cost of doing business for public service providers which Gov</w:t>
      </w:r>
      <w:r w:rsidR="00190C6D">
        <w:rPr>
          <w:rFonts w:ascii="Trebuchet MS" w:eastAsia="Times New Roman" w:hAnsi="Trebuchet MS" w:cs="Tahoma"/>
          <w:bCs/>
          <w:color w:val="000000"/>
          <w:sz w:val="20"/>
          <w:szCs w:val="20"/>
          <w:lang w:eastAsia="en-US"/>
        </w:rPr>
        <w:t xml:space="preserve">ernment </w:t>
      </w:r>
      <w:r w:rsidRPr="00624CD9">
        <w:rPr>
          <w:rFonts w:ascii="Trebuchet MS" w:eastAsia="Times New Roman" w:hAnsi="Trebuchet MS" w:cs="Tahoma"/>
          <w:bCs/>
          <w:color w:val="000000"/>
          <w:sz w:val="20"/>
          <w:szCs w:val="20"/>
          <w:lang w:eastAsia="en-US"/>
        </w:rPr>
        <w:t>will see coming through in tender pricing and negative impacts on the economic viability of existing contracts.</w:t>
      </w:r>
    </w:p>
    <w:p w14:paraId="312EBFF6" w14:textId="4AD31E57" w:rsidR="003F3757" w:rsidRPr="00BF318E" w:rsidRDefault="00624CD9" w:rsidP="003F3757">
      <w:pPr>
        <w:spacing w:after="0" w:line="240" w:lineRule="auto"/>
        <w:jc w:val="both"/>
        <w:rPr>
          <w:rFonts w:ascii="Trebuchet MS" w:eastAsia="Times New Roman" w:hAnsi="Trebuchet MS" w:cs="Calibri"/>
          <w:color w:val="000000"/>
          <w:sz w:val="20"/>
          <w:szCs w:val="20"/>
          <w:lang w:eastAsia="en-US"/>
        </w:rPr>
      </w:pPr>
      <w:r w:rsidRPr="00624CD9">
        <w:rPr>
          <w:rFonts w:ascii="Trebuchet MS" w:eastAsia="Times New Roman" w:hAnsi="Trebuchet MS" w:cs="Calibri"/>
          <w:b/>
          <w:bCs/>
          <w:color w:val="000000"/>
          <w:sz w:val="20"/>
          <w:szCs w:val="20"/>
          <w:lang w:eastAsia="en-US"/>
        </w:rPr>
        <w:t> </w:t>
      </w:r>
    </w:p>
    <w:p w14:paraId="49A5A442" w14:textId="3F76B95F" w:rsidR="003F3757" w:rsidRDefault="003F3757" w:rsidP="003F3757">
      <w:pPr>
        <w:spacing w:after="0" w:line="240" w:lineRule="auto"/>
        <w:jc w:val="both"/>
        <w:rPr>
          <w:rFonts w:ascii="Trebuchet MS" w:eastAsia="Times New Roman" w:hAnsi="Trebuchet MS" w:cs="Calibri"/>
          <w:b/>
          <w:color w:val="000000"/>
          <w:sz w:val="20"/>
          <w:szCs w:val="20"/>
          <w:lang w:eastAsia="en-US"/>
        </w:rPr>
      </w:pPr>
    </w:p>
    <w:p w14:paraId="48B24A74" w14:textId="75767FB3" w:rsidR="00211871" w:rsidRPr="00211871" w:rsidRDefault="00211871" w:rsidP="003F3757">
      <w:pPr>
        <w:spacing w:after="0" w:line="240" w:lineRule="auto"/>
        <w:jc w:val="both"/>
        <w:rPr>
          <w:rFonts w:ascii="Trebuchet MS" w:eastAsia="Times New Roman" w:hAnsi="Trebuchet MS" w:cs="Calibri"/>
          <w:b/>
          <w:color w:val="000000"/>
          <w:sz w:val="20"/>
          <w:szCs w:val="20"/>
          <w:u w:val="single"/>
          <w:lang w:eastAsia="en-US"/>
        </w:rPr>
      </w:pPr>
      <w:r w:rsidRPr="00211871">
        <w:rPr>
          <w:rFonts w:ascii="Trebuchet MS" w:eastAsia="Times New Roman" w:hAnsi="Trebuchet MS" w:cs="Calibri"/>
          <w:b/>
          <w:color w:val="000000"/>
          <w:sz w:val="20"/>
          <w:szCs w:val="20"/>
          <w:u w:val="single"/>
          <w:lang w:eastAsia="en-US"/>
        </w:rPr>
        <w:t xml:space="preserve">Sectoral considerations </w:t>
      </w:r>
    </w:p>
    <w:p w14:paraId="7B4C865B" w14:textId="77777777" w:rsidR="00211871" w:rsidRDefault="00211871" w:rsidP="003F3757">
      <w:pPr>
        <w:spacing w:after="0" w:line="240" w:lineRule="auto"/>
        <w:jc w:val="both"/>
        <w:rPr>
          <w:rFonts w:ascii="Trebuchet MS" w:eastAsia="Times New Roman" w:hAnsi="Trebuchet MS" w:cs="Calibri"/>
          <w:b/>
          <w:color w:val="000000"/>
          <w:sz w:val="20"/>
          <w:szCs w:val="20"/>
          <w:lang w:eastAsia="en-US"/>
        </w:rPr>
      </w:pPr>
    </w:p>
    <w:p w14:paraId="4CE02C67" w14:textId="5B8C035E" w:rsidR="00431323" w:rsidRDefault="00431323" w:rsidP="003F3757">
      <w:pPr>
        <w:spacing w:after="0" w:line="240" w:lineRule="auto"/>
        <w:jc w:val="both"/>
        <w:rPr>
          <w:rFonts w:ascii="Trebuchet MS" w:eastAsia="Times New Roman" w:hAnsi="Trebuchet MS" w:cs="Calibri"/>
          <w:b/>
          <w:color w:val="000000"/>
          <w:sz w:val="20"/>
          <w:szCs w:val="20"/>
          <w:lang w:eastAsia="en-US"/>
        </w:rPr>
      </w:pPr>
      <w:r>
        <w:rPr>
          <w:rFonts w:ascii="Trebuchet MS" w:eastAsia="Times New Roman" w:hAnsi="Trebuchet MS" w:cs="Calibri"/>
          <w:b/>
          <w:color w:val="000000"/>
          <w:sz w:val="20"/>
          <w:szCs w:val="20"/>
          <w:lang w:eastAsia="en-US"/>
        </w:rPr>
        <w:t>Facilities Management</w:t>
      </w:r>
    </w:p>
    <w:p w14:paraId="256A1886" w14:textId="77777777" w:rsidR="00431323" w:rsidRDefault="00431323" w:rsidP="003F3757">
      <w:pPr>
        <w:spacing w:after="0" w:line="240" w:lineRule="auto"/>
        <w:jc w:val="both"/>
        <w:rPr>
          <w:rFonts w:ascii="Trebuchet MS" w:eastAsia="Times New Roman" w:hAnsi="Trebuchet MS" w:cs="Calibri"/>
          <w:b/>
          <w:color w:val="000000"/>
          <w:sz w:val="20"/>
          <w:szCs w:val="20"/>
          <w:lang w:eastAsia="en-US"/>
        </w:rPr>
      </w:pPr>
    </w:p>
    <w:p w14:paraId="4F143898" w14:textId="723B8B51" w:rsidR="00431323" w:rsidRDefault="00431323" w:rsidP="00431323">
      <w:pPr>
        <w:pStyle w:val="ListParagraph"/>
        <w:numPr>
          <w:ilvl w:val="0"/>
          <w:numId w:val="1"/>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During lockdown many statutory and routine maintenance tasks will not have been carried out. Passenger lifts, escalators, fume extractions systems, pressure systems etc. may no longer be compliant with the law or good industry practice and will require testing before being brought back into use. This will put an incredible strain on the sub-contractor chain unless they are allowed to operate ahead of services being resumed. The alternative is for employees to be brought back and asked to use non-compliant equipment and tools.  This could create a very real health and safety issue.</w:t>
      </w:r>
    </w:p>
    <w:p w14:paraId="715C9CEE" w14:textId="77777777" w:rsidR="00431323" w:rsidRPr="008643AC" w:rsidRDefault="00431323" w:rsidP="00431323">
      <w:pPr>
        <w:pStyle w:val="ListParagraph"/>
        <w:spacing w:after="0" w:line="240" w:lineRule="auto"/>
        <w:ind w:left="360"/>
        <w:jc w:val="both"/>
        <w:rPr>
          <w:rFonts w:ascii="Trebuchet MS" w:eastAsia="Times New Roman" w:hAnsi="Trebuchet MS" w:cs="Calibri"/>
          <w:color w:val="000000"/>
          <w:sz w:val="20"/>
          <w:szCs w:val="20"/>
          <w:lang w:eastAsia="en-US"/>
        </w:rPr>
      </w:pPr>
    </w:p>
    <w:p w14:paraId="73589274" w14:textId="203FDBCE" w:rsidR="003F3757" w:rsidRPr="008643AC" w:rsidRDefault="003F3757" w:rsidP="003F3757">
      <w:pPr>
        <w:spacing w:after="0" w:line="240" w:lineRule="auto"/>
        <w:jc w:val="both"/>
        <w:rPr>
          <w:rFonts w:ascii="Trebuchet MS" w:eastAsia="Times New Roman" w:hAnsi="Trebuchet MS" w:cs="Calibri"/>
          <w:b/>
          <w:color w:val="000000"/>
          <w:sz w:val="20"/>
          <w:szCs w:val="20"/>
          <w:lang w:eastAsia="en-US"/>
        </w:rPr>
      </w:pPr>
      <w:r w:rsidRPr="008643AC">
        <w:rPr>
          <w:rFonts w:ascii="Trebuchet MS" w:eastAsia="Times New Roman" w:hAnsi="Trebuchet MS" w:cs="Calibri"/>
          <w:b/>
          <w:color w:val="000000"/>
          <w:sz w:val="20"/>
          <w:szCs w:val="20"/>
          <w:lang w:eastAsia="en-US"/>
        </w:rPr>
        <w:t>Contract Catering and Hospitality Sector</w:t>
      </w:r>
    </w:p>
    <w:p w14:paraId="27F765E7" w14:textId="77777777" w:rsidR="003F3757" w:rsidRPr="00BF318E" w:rsidRDefault="003F3757" w:rsidP="003F3757">
      <w:pPr>
        <w:spacing w:after="0" w:line="240" w:lineRule="auto"/>
        <w:jc w:val="both"/>
        <w:rPr>
          <w:rFonts w:ascii="Trebuchet MS" w:eastAsia="Times New Roman" w:hAnsi="Trebuchet MS" w:cs="Calibri"/>
          <w:color w:val="000000"/>
          <w:sz w:val="20"/>
          <w:szCs w:val="20"/>
          <w:lang w:eastAsia="en-US"/>
        </w:rPr>
      </w:pPr>
    </w:p>
    <w:p w14:paraId="590D08D6" w14:textId="77777777" w:rsidR="003F3757" w:rsidRPr="00BF318E" w:rsidRDefault="003F3757" w:rsidP="003F3757">
      <w:pPr>
        <w:pStyle w:val="ListParagraph"/>
        <w:numPr>
          <w:ilvl w:val="0"/>
          <w:numId w:val="2"/>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Many contractors will be calling upon the same supply chains when restrictions lift; not least for the provision of PPE required for food preparation. Without due notice, delays in the resumption of services may be inevitable. </w:t>
      </w:r>
    </w:p>
    <w:p w14:paraId="41123FE4" w14:textId="398610F0" w:rsidR="003F3757" w:rsidRPr="00C225C8" w:rsidRDefault="003F3757" w:rsidP="003F3757">
      <w:pPr>
        <w:numPr>
          <w:ilvl w:val="0"/>
          <w:numId w:val="13"/>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Those coming to work will be best protected if they limit the number of places they visit during their working day.  Having access to a canteen within their place of work limits infection risk to those in their ‘section’ within their workplace. Visiting high street cafes or retailers must increase the risk of bringing the infection in to the workplace, when compared with limiting physical spaces to home and the office.</w:t>
      </w:r>
    </w:p>
    <w:p w14:paraId="7429D276" w14:textId="77777777" w:rsidR="003F3757" w:rsidRPr="00C225C8" w:rsidRDefault="003F3757" w:rsidP="003F3757">
      <w:pPr>
        <w:numPr>
          <w:ilvl w:val="0"/>
          <w:numId w:val="13"/>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In addition, high street retail offers will be ‘grab and go’, increasing infection risk from hands touching retail items and from insufficient social distancing in queues.  In an office environment, click-and-collect eliminates the risk that two consumers touch the same packaged food item.  Social distancing is also easier to manage as:</w:t>
      </w:r>
    </w:p>
    <w:p w14:paraId="037BE165" w14:textId="77777777" w:rsidR="003F3757" w:rsidRPr="00C225C8" w:rsidRDefault="003F3757" w:rsidP="00BE2C74">
      <w:pPr>
        <w:numPr>
          <w:ilvl w:val="0"/>
          <w:numId w:val="28"/>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Lunch breaks can be staggered</w:t>
      </w:r>
    </w:p>
    <w:p w14:paraId="4282A227" w14:textId="77777777" w:rsidR="003F3757" w:rsidRPr="00C225C8" w:rsidRDefault="003F3757" w:rsidP="00BE2C74">
      <w:pPr>
        <w:numPr>
          <w:ilvl w:val="0"/>
          <w:numId w:val="28"/>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Queue markings are easier to create and sustain in a controlled environment such as an office vs. the high street or mall</w:t>
      </w:r>
    </w:p>
    <w:p w14:paraId="2893906E" w14:textId="77777777" w:rsidR="003F3757" w:rsidRPr="00C225C8" w:rsidRDefault="003F3757" w:rsidP="003F3757">
      <w:pPr>
        <w:numPr>
          <w:ilvl w:val="0"/>
          <w:numId w:val="15"/>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Bringing food from home is not practical at scale, and if practiced widely will increase infection risk: </w:t>
      </w:r>
    </w:p>
    <w:p w14:paraId="401892C5" w14:textId="77777777" w:rsidR="003F3757" w:rsidRPr="00C225C8" w:rsidRDefault="003F3757" w:rsidP="00BE2C74">
      <w:pPr>
        <w:numPr>
          <w:ilvl w:val="0"/>
          <w:numId w:val="29"/>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Workplaces (particularly those that are densely populated) do not have sufficient fridge space to hold hundreds of meals from home. </w:t>
      </w:r>
    </w:p>
    <w:p w14:paraId="09C35BFF" w14:textId="77777777" w:rsidR="003F3757" w:rsidRPr="00C225C8" w:rsidRDefault="003F3757" w:rsidP="00BE2C74">
      <w:pPr>
        <w:numPr>
          <w:ilvl w:val="0"/>
          <w:numId w:val="29"/>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Office fridges used by consumers are a potential infection ground (risk from multiple ‘touches’ on the fridge door). </w:t>
      </w:r>
    </w:p>
    <w:p w14:paraId="26AD039B" w14:textId="77777777" w:rsidR="003F3757" w:rsidRPr="00C225C8" w:rsidRDefault="003F3757" w:rsidP="00BE2C74">
      <w:pPr>
        <w:numPr>
          <w:ilvl w:val="0"/>
          <w:numId w:val="29"/>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Office microwaves are also a potential infection ground (again, microwave door handles), and microwaves are often situated in small areas, compromising social distancing</w:t>
      </w:r>
    </w:p>
    <w:p w14:paraId="56700D1A" w14:textId="380DA246" w:rsidR="003F3757" w:rsidRPr="001B3538" w:rsidRDefault="003F3757" w:rsidP="001B3538">
      <w:pPr>
        <w:numPr>
          <w:ilvl w:val="0"/>
          <w:numId w:val="15"/>
        </w:numPr>
        <w:spacing w:after="0" w:line="240" w:lineRule="auto"/>
        <w:jc w:val="both"/>
        <w:rPr>
          <w:rFonts w:ascii="Trebuchet MS" w:eastAsia="Times New Roman" w:hAnsi="Trebuchet MS" w:cs="Calibri"/>
          <w:color w:val="000000"/>
          <w:sz w:val="20"/>
          <w:szCs w:val="20"/>
          <w:lang w:eastAsia="en-US"/>
        </w:rPr>
      </w:pPr>
      <w:r w:rsidRPr="001B3538">
        <w:rPr>
          <w:rFonts w:ascii="Trebuchet MS" w:eastAsia="Times New Roman" w:hAnsi="Trebuchet MS" w:cs="Calibri"/>
          <w:color w:val="000000"/>
          <w:sz w:val="20"/>
          <w:szCs w:val="20"/>
          <w:lang w:eastAsia="en-US"/>
        </w:rPr>
        <w:t>Office caterers have the highest health and safety standards in the industry:  our business and industry divisions have a very high proportion of EHO 5* ratings. Encouraging eating in these environments will funnel consumers towards outlets with higher food safety standards which will translate into higher infection control standards</w:t>
      </w:r>
      <w:r w:rsidR="00BE2C74">
        <w:rPr>
          <w:rFonts w:ascii="Trebuchet MS" w:eastAsia="Times New Roman" w:hAnsi="Trebuchet MS" w:cs="Calibri"/>
          <w:color w:val="000000"/>
          <w:sz w:val="20"/>
          <w:szCs w:val="20"/>
          <w:lang w:eastAsia="en-US"/>
        </w:rPr>
        <w:t>.</w:t>
      </w:r>
    </w:p>
    <w:p w14:paraId="23B37657" w14:textId="7E171997" w:rsidR="003F3757" w:rsidRPr="00C225C8" w:rsidRDefault="003F3757" w:rsidP="003F3757">
      <w:pPr>
        <w:numPr>
          <w:ilvl w:val="0"/>
          <w:numId w:val="18"/>
        </w:numPr>
        <w:spacing w:after="0" w:line="240" w:lineRule="auto"/>
        <w:jc w:val="both"/>
        <w:rPr>
          <w:rFonts w:ascii="Trebuchet MS" w:eastAsia="Times New Roman" w:hAnsi="Trebuchet MS" w:cs="Calibri"/>
          <w:color w:val="000000"/>
          <w:sz w:val="20"/>
          <w:szCs w:val="20"/>
          <w:lang w:eastAsia="en-US"/>
        </w:rPr>
      </w:pPr>
      <w:r w:rsidRPr="00C225C8">
        <w:rPr>
          <w:rFonts w:ascii="Trebuchet MS" w:eastAsia="Times New Roman" w:hAnsi="Trebuchet MS" w:cs="Calibri"/>
          <w:color w:val="000000"/>
          <w:sz w:val="20"/>
          <w:szCs w:val="20"/>
          <w:lang w:eastAsia="en-US"/>
        </w:rPr>
        <w:t>Overall, the best approach must be the provision of multiple safe eating environments (whether office-based or on the high street), so that people can gradually return to work and eat and drink without breaking social distancing guidelines. If we mandate that some outlets are shut, then by definition we are increasing the density of consumers at other outlets, and therefore increasing the infection risk.</w:t>
      </w:r>
    </w:p>
    <w:p w14:paraId="36CF9D8E" w14:textId="77777777" w:rsidR="003F3757" w:rsidRPr="00BF318E" w:rsidRDefault="003F3757" w:rsidP="003F3757">
      <w:pPr>
        <w:spacing w:after="0" w:line="240" w:lineRule="auto"/>
        <w:jc w:val="both"/>
        <w:rPr>
          <w:rFonts w:ascii="Trebuchet MS" w:eastAsia="Times New Roman" w:hAnsi="Trebuchet MS" w:cs="Calibri"/>
          <w:color w:val="000000"/>
          <w:sz w:val="20"/>
          <w:szCs w:val="20"/>
          <w:lang w:eastAsia="en-US"/>
        </w:rPr>
      </w:pPr>
    </w:p>
    <w:p w14:paraId="764AB5C9" w14:textId="715BD5D9" w:rsidR="008B2369" w:rsidRPr="003F3757" w:rsidRDefault="008B2369" w:rsidP="00D8347A">
      <w:pPr>
        <w:spacing w:after="0" w:line="240" w:lineRule="auto"/>
        <w:jc w:val="both"/>
        <w:rPr>
          <w:rFonts w:ascii="Trebuchet MS" w:eastAsia="Times New Roman" w:hAnsi="Trebuchet MS" w:cs="Calibri"/>
          <w:b/>
          <w:color w:val="000000"/>
          <w:sz w:val="20"/>
          <w:szCs w:val="20"/>
          <w:lang w:eastAsia="en-US"/>
        </w:rPr>
      </w:pPr>
      <w:r w:rsidRPr="003F3757">
        <w:rPr>
          <w:rFonts w:ascii="Trebuchet MS" w:eastAsia="Times New Roman" w:hAnsi="Trebuchet MS" w:cs="Calibri"/>
          <w:b/>
          <w:color w:val="000000"/>
          <w:sz w:val="20"/>
          <w:szCs w:val="20"/>
          <w:lang w:eastAsia="en-US"/>
        </w:rPr>
        <w:t>Education sector</w:t>
      </w:r>
    </w:p>
    <w:p w14:paraId="72E7E4EF" w14:textId="77777777" w:rsidR="008B2369" w:rsidRPr="00BF318E" w:rsidRDefault="008B2369" w:rsidP="00D8347A">
      <w:pPr>
        <w:spacing w:after="0" w:line="240" w:lineRule="auto"/>
        <w:jc w:val="both"/>
        <w:rPr>
          <w:rFonts w:ascii="Trebuchet MS" w:eastAsia="Times New Roman" w:hAnsi="Trebuchet MS" w:cs="Calibri"/>
          <w:color w:val="000000"/>
          <w:sz w:val="20"/>
          <w:szCs w:val="20"/>
          <w:lang w:eastAsia="en-US"/>
        </w:rPr>
      </w:pPr>
    </w:p>
    <w:p w14:paraId="4B962DA8" w14:textId="35C26A7C" w:rsidR="00F07A2A" w:rsidRPr="00BF318E" w:rsidRDefault="008B2369" w:rsidP="00D8347A">
      <w:pPr>
        <w:pStyle w:val="ListParagraph"/>
        <w:numPr>
          <w:ilvl w:val="0"/>
          <w:numId w:val="3"/>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For schools to reopen</w:t>
      </w:r>
      <w:r w:rsidR="00BE2C74">
        <w:rPr>
          <w:rFonts w:ascii="Trebuchet MS" w:eastAsia="Times New Roman" w:hAnsi="Trebuchet MS" w:cs="Calibri"/>
          <w:color w:val="000000"/>
          <w:sz w:val="20"/>
          <w:szCs w:val="20"/>
          <w:lang w:eastAsia="en-US"/>
        </w:rPr>
        <w:t>:</w:t>
      </w:r>
      <w:r w:rsidRPr="00BF318E">
        <w:rPr>
          <w:rFonts w:ascii="Trebuchet MS" w:eastAsia="Times New Roman" w:hAnsi="Trebuchet MS" w:cs="Calibri"/>
          <w:color w:val="000000"/>
          <w:sz w:val="20"/>
          <w:szCs w:val="20"/>
          <w:lang w:eastAsia="en-US"/>
        </w:rPr>
        <w:t xml:space="preserve"> </w:t>
      </w:r>
    </w:p>
    <w:p w14:paraId="506AC880" w14:textId="3B204693" w:rsidR="00C21D46" w:rsidRPr="00BF318E" w:rsidRDefault="00E4665D" w:rsidP="00BE2C74">
      <w:pPr>
        <w:numPr>
          <w:ilvl w:val="0"/>
          <w:numId w:val="27"/>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Catering services require a minimum of t</w:t>
      </w:r>
      <w:r w:rsidR="004C4685" w:rsidRPr="00BF318E">
        <w:rPr>
          <w:rFonts w:ascii="Trebuchet MS" w:eastAsia="Times New Roman" w:hAnsi="Trebuchet MS" w:cs="Calibri"/>
          <w:color w:val="000000"/>
          <w:sz w:val="20"/>
          <w:szCs w:val="20"/>
          <w:lang w:eastAsia="en-US"/>
        </w:rPr>
        <w:t xml:space="preserve">hree </w:t>
      </w:r>
      <w:r w:rsidRPr="00BF318E">
        <w:rPr>
          <w:rFonts w:ascii="Trebuchet MS" w:eastAsia="Times New Roman" w:hAnsi="Trebuchet MS" w:cs="Calibri"/>
          <w:color w:val="000000"/>
          <w:sz w:val="20"/>
          <w:szCs w:val="20"/>
          <w:lang w:eastAsia="en-US"/>
        </w:rPr>
        <w:t xml:space="preserve">weeks to get back up and running. </w:t>
      </w:r>
      <w:r w:rsidR="00520B42" w:rsidRPr="00BF318E">
        <w:rPr>
          <w:rFonts w:ascii="Trebuchet MS" w:eastAsia="Times New Roman" w:hAnsi="Trebuchet MS" w:cs="Calibri"/>
          <w:color w:val="000000"/>
          <w:sz w:val="20"/>
          <w:szCs w:val="20"/>
          <w:lang w:eastAsia="en-US"/>
        </w:rPr>
        <w:t>Social distancing measures will need to be communicated early so that school meal providers can plan staffing, food offers and food service solutions to meet social distancing</w:t>
      </w:r>
      <w:r w:rsidR="009929FD" w:rsidRPr="00BF318E">
        <w:rPr>
          <w:rFonts w:ascii="Trebuchet MS" w:eastAsia="Times New Roman" w:hAnsi="Trebuchet MS" w:cs="Calibri"/>
          <w:color w:val="000000"/>
          <w:sz w:val="20"/>
          <w:szCs w:val="20"/>
          <w:lang w:eastAsia="en-US"/>
        </w:rPr>
        <w:t xml:space="preserve"> and to reorder food commensurate with the lag time (see Supply Chains)</w:t>
      </w:r>
      <w:r w:rsidR="00520B42" w:rsidRPr="00BF318E">
        <w:rPr>
          <w:rFonts w:ascii="Trebuchet MS" w:eastAsia="Times New Roman" w:hAnsi="Trebuchet MS" w:cs="Calibri"/>
          <w:color w:val="000000"/>
          <w:sz w:val="20"/>
          <w:szCs w:val="20"/>
          <w:lang w:eastAsia="en-US"/>
        </w:rPr>
        <w:t xml:space="preserve">. </w:t>
      </w:r>
      <w:r w:rsidR="009929FD" w:rsidRPr="00BF318E">
        <w:rPr>
          <w:rFonts w:ascii="Trebuchet MS" w:eastAsia="Times New Roman" w:hAnsi="Trebuchet MS" w:cs="Calibri"/>
          <w:color w:val="000000"/>
          <w:sz w:val="20"/>
          <w:szCs w:val="20"/>
          <w:lang w:eastAsia="en-US"/>
        </w:rPr>
        <w:t xml:space="preserve">They also need to check allergy guidelines and re-establish digital meal ordering platforms for parents. </w:t>
      </w:r>
    </w:p>
    <w:p w14:paraId="69A7FD0D" w14:textId="2F05E4A2" w:rsidR="00C21D46" w:rsidRPr="00BF318E" w:rsidRDefault="00C21D46" w:rsidP="00BE2C74">
      <w:pPr>
        <w:numPr>
          <w:ilvl w:val="0"/>
          <w:numId w:val="27"/>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Cleaning services need one week to training cleaning staff on new regimes, social distancing measures, and KPI standards. </w:t>
      </w:r>
    </w:p>
    <w:p w14:paraId="2DE7001D" w14:textId="7B5383F7" w:rsidR="00C21D46" w:rsidRPr="00BF318E" w:rsidRDefault="00C21D46" w:rsidP="00BE2C74">
      <w:pPr>
        <w:numPr>
          <w:ilvl w:val="0"/>
          <w:numId w:val="27"/>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Asset maintenance services to keep water, power and building systems safe, need to be planned. </w:t>
      </w:r>
    </w:p>
    <w:p w14:paraId="4DFAA460" w14:textId="4C79DE11" w:rsidR="00C21D46" w:rsidRPr="00BF318E" w:rsidRDefault="00C21D46" w:rsidP="00BE2C74">
      <w:pPr>
        <w:numPr>
          <w:ilvl w:val="0"/>
          <w:numId w:val="27"/>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Supply chains will need three weeks</w:t>
      </w:r>
      <w:r w:rsidR="002909C8" w:rsidRPr="00BF318E">
        <w:rPr>
          <w:rFonts w:ascii="Trebuchet MS" w:eastAsia="Times New Roman" w:hAnsi="Trebuchet MS" w:cs="Calibri"/>
          <w:color w:val="000000"/>
          <w:sz w:val="20"/>
          <w:szCs w:val="20"/>
          <w:lang w:eastAsia="en-US"/>
        </w:rPr>
        <w:t>’</w:t>
      </w:r>
      <w:r w:rsidRPr="00BF318E">
        <w:rPr>
          <w:rFonts w:ascii="Trebuchet MS" w:eastAsia="Times New Roman" w:hAnsi="Trebuchet MS" w:cs="Calibri"/>
          <w:color w:val="000000"/>
          <w:sz w:val="20"/>
          <w:szCs w:val="20"/>
          <w:lang w:eastAsia="en-US"/>
        </w:rPr>
        <w:t xml:space="preserve"> notice to restart logistic services, source supplies such as food stuffs, bring staff back from Furlough, and retrain staff on new processes (linked to social distances). </w:t>
      </w:r>
    </w:p>
    <w:p w14:paraId="38A18E81" w14:textId="0BEF5692" w:rsidR="00B82654" w:rsidRPr="005E4E4F" w:rsidRDefault="00520B42" w:rsidP="00D8347A">
      <w:pPr>
        <w:pStyle w:val="ListParagraph"/>
        <w:numPr>
          <w:ilvl w:val="0"/>
          <w:numId w:val="3"/>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Early discussions are required on the commercial impact of social distancing around meal volumes and additional safety</w:t>
      </w:r>
      <w:r w:rsidR="00BA55FA" w:rsidRPr="00BF318E">
        <w:rPr>
          <w:rFonts w:ascii="Trebuchet MS" w:eastAsia="Times New Roman" w:hAnsi="Trebuchet MS" w:cs="Calibri"/>
          <w:color w:val="000000"/>
          <w:sz w:val="20"/>
          <w:szCs w:val="20"/>
          <w:lang w:eastAsia="en-US"/>
        </w:rPr>
        <w:t xml:space="preserve">, cleaning and </w:t>
      </w:r>
      <w:r w:rsidRPr="00BF318E">
        <w:rPr>
          <w:rFonts w:ascii="Trebuchet MS" w:eastAsia="Times New Roman" w:hAnsi="Trebuchet MS" w:cs="Calibri"/>
          <w:color w:val="000000"/>
          <w:sz w:val="20"/>
          <w:szCs w:val="20"/>
          <w:lang w:eastAsia="en-US"/>
        </w:rPr>
        <w:t>hygiene measures.</w:t>
      </w:r>
    </w:p>
    <w:p w14:paraId="08CC833A" w14:textId="4BFC3CE8" w:rsidR="000137F3" w:rsidRDefault="000137F3" w:rsidP="00D8347A">
      <w:pPr>
        <w:spacing w:after="0" w:line="240" w:lineRule="auto"/>
        <w:jc w:val="both"/>
        <w:rPr>
          <w:rFonts w:ascii="Trebuchet MS" w:eastAsia="Times New Roman" w:hAnsi="Trebuchet MS" w:cs="Calibri"/>
          <w:color w:val="000000"/>
          <w:sz w:val="20"/>
          <w:szCs w:val="20"/>
          <w:lang w:eastAsia="en-US"/>
        </w:rPr>
      </w:pPr>
    </w:p>
    <w:p w14:paraId="642C9726" w14:textId="77777777" w:rsidR="00BE2C74" w:rsidRPr="00F36363" w:rsidRDefault="00BE2C74" w:rsidP="00BE2C74">
      <w:pPr>
        <w:spacing w:after="0" w:line="240" w:lineRule="auto"/>
        <w:jc w:val="both"/>
        <w:textAlignment w:val="baseline"/>
        <w:rPr>
          <w:rFonts w:ascii="Trebuchet MS" w:eastAsia="Times New Roman" w:hAnsi="Trebuchet MS" w:cs="Calibri"/>
          <w:b/>
          <w:color w:val="000000"/>
          <w:sz w:val="20"/>
          <w:szCs w:val="20"/>
          <w:lang w:eastAsia="en-US"/>
        </w:rPr>
      </w:pPr>
      <w:r w:rsidRPr="00F36363">
        <w:rPr>
          <w:rFonts w:ascii="Trebuchet MS" w:eastAsia="Times New Roman" w:hAnsi="Trebuchet MS" w:cs="Tahoma"/>
          <w:b/>
          <w:bCs/>
          <w:color w:val="000000"/>
          <w:sz w:val="20"/>
          <w:szCs w:val="20"/>
          <w:lang w:eastAsia="en-US"/>
        </w:rPr>
        <w:t>Public Transport Contracts/Franchises</w:t>
      </w:r>
    </w:p>
    <w:p w14:paraId="1DAF8810" w14:textId="77777777" w:rsidR="00BE2C74" w:rsidRPr="00F36363" w:rsidRDefault="00BE2C74" w:rsidP="00BE2C74">
      <w:pPr>
        <w:spacing w:after="0" w:line="240" w:lineRule="auto"/>
        <w:jc w:val="both"/>
        <w:textAlignment w:val="baseline"/>
        <w:rPr>
          <w:rFonts w:ascii="Trebuchet MS" w:eastAsia="Times New Roman" w:hAnsi="Trebuchet MS" w:cs="Calibri"/>
          <w:color w:val="000000"/>
          <w:sz w:val="20"/>
          <w:szCs w:val="20"/>
          <w:lang w:eastAsia="en-US"/>
        </w:rPr>
      </w:pPr>
      <w:r w:rsidRPr="00F36363">
        <w:rPr>
          <w:rFonts w:ascii="Trebuchet MS" w:eastAsia="Times New Roman" w:hAnsi="Trebuchet MS" w:cs="Tahoma"/>
          <w:b/>
          <w:bCs/>
          <w:color w:val="000000"/>
          <w:sz w:val="20"/>
          <w:szCs w:val="20"/>
          <w:lang w:eastAsia="en-US"/>
        </w:rPr>
        <w:t> </w:t>
      </w:r>
    </w:p>
    <w:p w14:paraId="72039FEE" w14:textId="77777777" w:rsidR="00BE2C74" w:rsidRPr="00BF318E" w:rsidRDefault="00BE2C74" w:rsidP="00BE2C74">
      <w:pPr>
        <w:pStyle w:val="ListParagraph"/>
        <w:numPr>
          <w:ilvl w:val="0"/>
          <w:numId w:val="21"/>
        </w:numPr>
        <w:spacing w:after="0" w:line="240" w:lineRule="auto"/>
        <w:jc w:val="both"/>
        <w:textAlignment w:val="baseline"/>
        <w:rPr>
          <w:rFonts w:ascii="Trebuchet MS" w:eastAsia="Times New Roman" w:hAnsi="Trebuchet MS" w:cs="Calibri"/>
          <w:color w:val="000000"/>
          <w:sz w:val="20"/>
          <w:szCs w:val="20"/>
          <w:lang w:eastAsia="en-US"/>
        </w:rPr>
      </w:pPr>
      <w:r w:rsidRPr="00BF318E">
        <w:rPr>
          <w:rFonts w:ascii="Trebuchet MS" w:eastAsia="Times New Roman" w:hAnsi="Trebuchet MS" w:cs="Tahoma"/>
          <w:bCs/>
          <w:color w:val="000000"/>
          <w:sz w:val="20"/>
          <w:szCs w:val="20"/>
          <w:lang w:eastAsia="en-US"/>
        </w:rPr>
        <w:t>UK public transport businesses have experienced significant reductions in passenger numbers since Covid-19 restrictions were introduced. We expect passenger numbers to continue to be depressed for some time and it may be the case that passenger numbers never return to pre-Covid</w:t>
      </w:r>
      <w:r>
        <w:rPr>
          <w:rFonts w:ascii="Trebuchet MS" w:eastAsia="Times New Roman" w:hAnsi="Trebuchet MS" w:cs="Tahoma"/>
          <w:bCs/>
          <w:color w:val="000000"/>
          <w:sz w:val="20"/>
          <w:szCs w:val="20"/>
          <w:lang w:eastAsia="en-US"/>
        </w:rPr>
        <w:t>-</w:t>
      </w:r>
      <w:r w:rsidRPr="00BF318E">
        <w:rPr>
          <w:rFonts w:ascii="Trebuchet MS" w:eastAsia="Times New Roman" w:hAnsi="Trebuchet MS" w:cs="Tahoma"/>
          <w:bCs/>
          <w:color w:val="000000"/>
          <w:sz w:val="20"/>
          <w:szCs w:val="20"/>
          <w:lang w:eastAsia="en-US"/>
        </w:rPr>
        <w:t>19 levels.</w:t>
      </w:r>
      <w:r w:rsidRPr="00BF318E">
        <w:rPr>
          <w:rFonts w:ascii="Arial" w:eastAsia="Times New Roman" w:hAnsi="Arial" w:cs="Arial"/>
          <w:bCs/>
          <w:color w:val="000000"/>
          <w:sz w:val="20"/>
          <w:szCs w:val="20"/>
          <w:lang w:val="en-US" w:eastAsia="en-US"/>
        </w:rPr>
        <w:t>​</w:t>
      </w:r>
    </w:p>
    <w:p w14:paraId="101B70AA" w14:textId="77777777" w:rsidR="00BE2C74" w:rsidRPr="00D03F3D" w:rsidRDefault="00BE2C74" w:rsidP="00BE2C74">
      <w:pPr>
        <w:pStyle w:val="ListParagraph"/>
        <w:numPr>
          <w:ilvl w:val="0"/>
          <w:numId w:val="21"/>
        </w:numPr>
        <w:spacing w:after="0" w:line="240" w:lineRule="auto"/>
        <w:jc w:val="both"/>
        <w:textAlignment w:val="baseline"/>
        <w:rPr>
          <w:rFonts w:ascii="Trebuchet MS" w:eastAsia="Times New Roman" w:hAnsi="Trebuchet MS" w:cs="Calibri"/>
          <w:color w:val="000000"/>
          <w:sz w:val="20"/>
          <w:szCs w:val="20"/>
          <w:lang w:eastAsia="en-US"/>
        </w:rPr>
      </w:pPr>
      <w:r w:rsidRPr="00BF318E">
        <w:rPr>
          <w:rFonts w:ascii="Trebuchet MS" w:eastAsia="Times New Roman" w:hAnsi="Trebuchet MS" w:cs="Tahoma"/>
          <w:bCs/>
          <w:color w:val="000000"/>
          <w:sz w:val="20"/>
          <w:szCs w:val="20"/>
          <w:lang w:eastAsia="en-US"/>
        </w:rPr>
        <w:t>It is anticipated there will be an enduring and significant impact on all public transport contracts and franchises which depend on assumed numbers of passenger volumes for viability. </w:t>
      </w:r>
      <w:r w:rsidRPr="00BF318E">
        <w:rPr>
          <w:rFonts w:ascii="Arial" w:eastAsia="Times New Roman" w:hAnsi="Arial" w:cs="Arial"/>
          <w:bCs/>
          <w:color w:val="000000"/>
          <w:sz w:val="20"/>
          <w:szCs w:val="20"/>
          <w:lang w:val="en-US" w:eastAsia="en-US"/>
        </w:rPr>
        <w:t>​</w:t>
      </w:r>
    </w:p>
    <w:p w14:paraId="07BDDF56" w14:textId="77777777" w:rsidR="00BE2C74" w:rsidRPr="00BF318E" w:rsidRDefault="00BE2C74" w:rsidP="00BE2C74">
      <w:pPr>
        <w:pStyle w:val="ListParagraph"/>
        <w:numPr>
          <w:ilvl w:val="0"/>
          <w:numId w:val="21"/>
        </w:numPr>
        <w:spacing w:after="0" w:line="240" w:lineRule="auto"/>
        <w:jc w:val="both"/>
        <w:textAlignment w:val="baseline"/>
        <w:rPr>
          <w:rFonts w:ascii="Trebuchet MS" w:eastAsia="Times New Roman" w:hAnsi="Trebuchet MS" w:cs="Tahoma"/>
          <w:bCs/>
          <w:color w:val="000000"/>
          <w:sz w:val="20"/>
          <w:szCs w:val="20"/>
          <w:lang w:eastAsia="en-US"/>
        </w:rPr>
      </w:pPr>
      <w:r w:rsidRPr="00F36363">
        <w:rPr>
          <w:rFonts w:ascii="Trebuchet MS" w:eastAsia="Times New Roman" w:hAnsi="Trebuchet MS" w:cs="Tahoma"/>
          <w:bCs/>
          <w:color w:val="000000"/>
          <w:sz w:val="20"/>
          <w:szCs w:val="20"/>
          <w:lang w:eastAsia="en-US"/>
        </w:rPr>
        <w:t>Emergency Measures Agreements (EMAs) have significantly mitigated the financial impact on</w:t>
      </w:r>
      <w:r w:rsidRPr="00F36363">
        <w:rPr>
          <w:rFonts w:ascii="Trebuchet MS" w:eastAsia="Times New Roman" w:hAnsi="Trebuchet MS" w:cs="Tahoma"/>
          <w:b/>
          <w:bCs/>
          <w:color w:val="000000"/>
          <w:sz w:val="20"/>
          <w:szCs w:val="20"/>
          <w:lang w:eastAsia="en-US"/>
        </w:rPr>
        <w:t xml:space="preserve"> </w:t>
      </w:r>
      <w:r w:rsidRPr="00F36363">
        <w:rPr>
          <w:rFonts w:ascii="Trebuchet MS" w:eastAsia="Times New Roman" w:hAnsi="Trebuchet MS" w:cs="Tahoma"/>
          <w:bCs/>
          <w:color w:val="000000"/>
          <w:sz w:val="20"/>
          <w:szCs w:val="20"/>
          <w:lang w:eastAsia="en-US"/>
        </w:rPr>
        <w:t xml:space="preserve">some public transport businesses to date. However, EMAs have not been available for operators of public transport services for regional transport authorities (e.g. TfL; </w:t>
      </w:r>
      <w:proofErr w:type="spellStart"/>
      <w:r w:rsidRPr="00F36363">
        <w:rPr>
          <w:rFonts w:ascii="Trebuchet MS" w:eastAsia="Times New Roman" w:hAnsi="Trebuchet MS" w:cs="Tahoma"/>
          <w:bCs/>
          <w:color w:val="000000"/>
          <w:sz w:val="20"/>
          <w:szCs w:val="20"/>
          <w:lang w:eastAsia="en-US"/>
        </w:rPr>
        <w:t>Merseytravel</w:t>
      </w:r>
      <w:proofErr w:type="spellEnd"/>
      <w:r w:rsidRPr="00F36363">
        <w:rPr>
          <w:rFonts w:ascii="Trebuchet MS" w:eastAsia="Times New Roman" w:hAnsi="Trebuchet MS" w:cs="Tahoma"/>
          <w:bCs/>
          <w:color w:val="000000"/>
          <w:sz w:val="20"/>
          <w:szCs w:val="20"/>
          <w:lang w:eastAsia="en-US"/>
        </w:rPr>
        <w:t>) in respect of which there has been and continues to be a significant financial impact. Where there are EMAs, those will be in place for a finite period and it is difficult to envisage many existing public transport contracts continuing to be economically viable under their current terms without further funding support and/or commercial restructuring.</w:t>
      </w:r>
    </w:p>
    <w:p w14:paraId="1A2D94DA" w14:textId="77777777" w:rsidR="00BE2C74" w:rsidRPr="00BF318E" w:rsidRDefault="00BE2C74" w:rsidP="00BE2C74">
      <w:pPr>
        <w:pStyle w:val="ListParagraph"/>
        <w:numPr>
          <w:ilvl w:val="0"/>
          <w:numId w:val="21"/>
        </w:numPr>
        <w:spacing w:after="0" w:line="240" w:lineRule="auto"/>
        <w:jc w:val="both"/>
        <w:textAlignment w:val="baseline"/>
        <w:rPr>
          <w:rFonts w:ascii="Trebuchet MS" w:eastAsia="Times New Roman" w:hAnsi="Trebuchet MS" w:cs="Tahoma"/>
          <w:bCs/>
          <w:color w:val="000000"/>
          <w:sz w:val="20"/>
          <w:szCs w:val="20"/>
          <w:lang w:eastAsia="en-US"/>
        </w:rPr>
      </w:pPr>
      <w:r w:rsidRPr="00F36363">
        <w:rPr>
          <w:rFonts w:ascii="Trebuchet MS" w:eastAsia="Times New Roman" w:hAnsi="Trebuchet MS" w:cs="Tahoma"/>
          <w:bCs/>
          <w:color w:val="000000"/>
          <w:sz w:val="20"/>
          <w:szCs w:val="20"/>
          <w:lang w:eastAsia="en-US"/>
        </w:rPr>
        <w:t>Careful consideration needs to be given to when and how support currently provided by EMAs will be withdrawn. In addition, some thought should be given to the structural changes that may be required to be made in respect of public transport provision and the contracts under which they currently operate.</w:t>
      </w:r>
      <w:r w:rsidRPr="00F36363">
        <w:rPr>
          <w:rFonts w:ascii="Arial" w:eastAsia="Times New Roman" w:hAnsi="Arial" w:cs="Arial"/>
          <w:bCs/>
          <w:color w:val="000000"/>
          <w:sz w:val="20"/>
          <w:szCs w:val="20"/>
          <w:lang w:eastAsia="en-US"/>
        </w:rPr>
        <w:t>​</w:t>
      </w:r>
    </w:p>
    <w:p w14:paraId="56863373" w14:textId="07F93C5F" w:rsidR="00BE2C74" w:rsidRPr="005754BF" w:rsidRDefault="00BE2C74" w:rsidP="00BE2C74">
      <w:pPr>
        <w:pStyle w:val="ListParagraph"/>
        <w:numPr>
          <w:ilvl w:val="0"/>
          <w:numId w:val="21"/>
        </w:numPr>
        <w:spacing w:after="0" w:line="240" w:lineRule="auto"/>
        <w:jc w:val="both"/>
        <w:textAlignment w:val="baseline"/>
        <w:rPr>
          <w:rFonts w:ascii="Trebuchet MS" w:eastAsia="Times New Roman" w:hAnsi="Trebuchet MS" w:cs="Tahoma"/>
          <w:bCs/>
          <w:color w:val="000000"/>
          <w:sz w:val="20"/>
          <w:szCs w:val="20"/>
          <w:lang w:eastAsia="en-US"/>
        </w:rPr>
      </w:pPr>
      <w:r w:rsidRPr="00F36363">
        <w:rPr>
          <w:rFonts w:ascii="Trebuchet MS" w:eastAsia="Times New Roman" w:hAnsi="Trebuchet MS" w:cs="Tahoma"/>
          <w:bCs/>
          <w:color w:val="000000"/>
          <w:sz w:val="20"/>
          <w:szCs w:val="20"/>
          <w:lang w:eastAsia="en-US"/>
        </w:rPr>
        <w:t>It is also anticipated there will be changes in legislation and guidance (including separate guidance and potentially additional requirements from devolved administrations) which imposes additional requirements on transport operators to ensure passenger safety (e.g. issuing of additional PPE and implementation of social distancing measures). These will likely lead to an increase in operator costs and reduced passenger capacity and place further strain on current operating models. </w:t>
      </w:r>
    </w:p>
    <w:p w14:paraId="79FFC4C4" w14:textId="77777777" w:rsidR="00BE2C74" w:rsidRDefault="00BE2C74" w:rsidP="00D8347A">
      <w:pPr>
        <w:spacing w:after="0" w:line="240" w:lineRule="auto"/>
        <w:jc w:val="both"/>
        <w:rPr>
          <w:rFonts w:ascii="Trebuchet MS" w:eastAsia="Times New Roman" w:hAnsi="Trebuchet MS" w:cs="Calibri"/>
          <w:color w:val="000000"/>
          <w:sz w:val="20"/>
          <w:szCs w:val="20"/>
          <w:lang w:eastAsia="en-US"/>
        </w:rPr>
      </w:pPr>
    </w:p>
    <w:p w14:paraId="26B95D84" w14:textId="006DE0A2" w:rsidR="00211871" w:rsidRPr="00211871" w:rsidRDefault="00F31F2D" w:rsidP="00D8347A">
      <w:pPr>
        <w:spacing w:after="0" w:line="240" w:lineRule="auto"/>
        <w:jc w:val="both"/>
        <w:rPr>
          <w:rFonts w:ascii="Trebuchet MS" w:eastAsia="Times New Roman" w:hAnsi="Trebuchet MS" w:cs="Calibri"/>
          <w:b/>
          <w:color w:val="000000"/>
          <w:sz w:val="20"/>
          <w:szCs w:val="20"/>
          <w:u w:val="single"/>
          <w:lang w:eastAsia="en-US"/>
        </w:rPr>
      </w:pPr>
      <w:r>
        <w:rPr>
          <w:rFonts w:ascii="Trebuchet MS" w:eastAsia="Times New Roman" w:hAnsi="Trebuchet MS" w:cs="Calibri"/>
          <w:b/>
          <w:color w:val="000000"/>
          <w:sz w:val="20"/>
          <w:szCs w:val="20"/>
          <w:u w:val="single"/>
          <w:lang w:eastAsia="en-US"/>
        </w:rPr>
        <w:t>Opportunities identified by BSA members</w:t>
      </w:r>
    </w:p>
    <w:p w14:paraId="7D8DAEC5" w14:textId="124F5190" w:rsidR="00211871" w:rsidRDefault="00211871" w:rsidP="00D8347A">
      <w:pPr>
        <w:spacing w:after="0" w:line="240" w:lineRule="auto"/>
        <w:jc w:val="both"/>
        <w:rPr>
          <w:rFonts w:ascii="Trebuchet MS" w:eastAsia="Times New Roman" w:hAnsi="Trebuchet MS" w:cs="Calibri"/>
          <w:color w:val="000000"/>
          <w:sz w:val="20"/>
          <w:szCs w:val="20"/>
          <w:lang w:eastAsia="en-US"/>
        </w:rPr>
      </w:pPr>
    </w:p>
    <w:p w14:paraId="6E50231E" w14:textId="4CF49FF9" w:rsidR="00F31F2D" w:rsidRPr="003C3B94" w:rsidRDefault="00F31F2D" w:rsidP="00F31F2D">
      <w:pPr>
        <w:spacing w:after="0" w:line="240" w:lineRule="auto"/>
        <w:jc w:val="both"/>
        <w:rPr>
          <w:rFonts w:ascii="Trebuchet MS" w:eastAsia="Times New Roman" w:hAnsi="Trebuchet MS" w:cs="Calibri"/>
          <w:b/>
          <w:color w:val="000000"/>
          <w:sz w:val="20"/>
          <w:szCs w:val="20"/>
          <w:lang w:eastAsia="en-US"/>
        </w:rPr>
      </w:pPr>
      <w:r>
        <w:rPr>
          <w:rFonts w:ascii="Trebuchet MS" w:eastAsia="Times New Roman" w:hAnsi="Trebuchet MS" w:cs="Calibri"/>
          <w:b/>
          <w:color w:val="000000"/>
          <w:sz w:val="20"/>
          <w:szCs w:val="20"/>
          <w:lang w:eastAsia="en-US"/>
        </w:rPr>
        <w:t>SMEs</w:t>
      </w:r>
    </w:p>
    <w:p w14:paraId="136033AB" w14:textId="77777777" w:rsidR="00F31F2D" w:rsidRDefault="00F31F2D" w:rsidP="00F31F2D">
      <w:pPr>
        <w:pStyle w:val="ListParagraph"/>
        <w:spacing w:after="0" w:line="240" w:lineRule="auto"/>
        <w:ind w:left="360"/>
        <w:jc w:val="both"/>
        <w:rPr>
          <w:rFonts w:ascii="Trebuchet MS" w:eastAsia="Times New Roman" w:hAnsi="Trebuchet MS" w:cs="Calibri"/>
          <w:color w:val="000000"/>
          <w:sz w:val="20"/>
          <w:szCs w:val="20"/>
          <w:lang w:eastAsia="en-US"/>
        </w:rPr>
      </w:pPr>
    </w:p>
    <w:p w14:paraId="60C00117" w14:textId="20B6DD60" w:rsidR="00851C4D" w:rsidRPr="00745F4D" w:rsidRDefault="00BC1AE2" w:rsidP="00745F4D">
      <w:pPr>
        <w:pStyle w:val="Default"/>
        <w:numPr>
          <w:ilvl w:val="0"/>
          <w:numId w:val="34"/>
        </w:numPr>
        <w:rPr>
          <w:sz w:val="20"/>
          <w:szCs w:val="20"/>
        </w:rPr>
      </w:pPr>
      <w:r>
        <w:rPr>
          <w:sz w:val="20"/>
          <w:szCs w:val="20"/>
        </w:rPr>
        <w:t>T</w:t>
      </w:r>
      <w:r w:rsidR="00851C4D">
        <w:rPr>
          <w:sz w:val="20"/>
          <w:szCs w:val="20"/>
        </w:rPr>
        <w:t xml:space="preserve">he pandemic has often hit smaller companies hardest, and larger </w:t>
      </w:r>
      <w:proofErr w:type="spellStart"/>
      <w:r w:rsidR="00851C4D">
        <w:rPr>
          <w:sz w:val="20"/>
          <w:szCs w:val="20"/>
        </w:rPr>
        <w:t>organisations</w:t>
      </w:r>
      <w:proofErr w:type="spellEnd"/>
      <w:r w:rsidR="00851C4D">
        <w:rPr>
          <w:sz w:val="20"/>
          <w:szCs w:val="20"/>
        </w:rPr>
        <w:t xml:space="preserve"> can have the </w:t>
      </w:r>
      <w:r w:rsidR="00851C4D" w:rsidRPr="00745F4D">
        <w:rPr>
          <w:sz w:val="20"/>
          <w:szCs w:val="20"/>
        </w:rPr>
        <w:t xml:space="preserve">capacity and reach to help. Non-SME BSA members can help SMEs in three ways: </w:t>
      </w:r>
    </w:p>
    <w:p w14:paraId="40F6A9B8" w14:textId="6C1A266C" w:rsidR="00851C4D" w:rsidRPr="00745F4D" w:rsidRDefault="00851C4D" w:rsidP="00745F4D">
      <w:pPr>
        <w:numPr>
          <w:ilvl w:val="0"/>
          <w:numId w:val="27"/>
        </w:numPr>
        <w:spacing w:after="0" w:line="240" w:lineRule="auto"/>
        <w:jc w:val="both"/>
        <w:rPr>
          <w:rFonts w:ascii="Trebuchet MS" w:hAnsi="Trebuchet MS"/>
          <w:sz w:val="20"/>
          <w:szCs w:val="20"/>
        </w:rPr>
      </w:pPr>
      <w:r w:rsidRPr="00745F4D">
        <w:rPr>
          <w:rFonts w:ascii="Trebuchet MS" w:eastAsia="Times New Roman" w:hAnsi="Trebuchet MS" w:cs="Calibri"/>
          <w:color w:val="000000"/>
          <w:sz w:val="20"/>
          <w:szCs w:val="20"/>
          <w:lang w:eastAsia="en-US"/>
        </w:rPr>
        <w:t>through</w:t>
      </w:r>
      <w:r w:rsidRPr="00745F4D">
        <w:rPr>
          <w:rFonts w:ascii="Trebuchet MS" w:hAnsi="Trebuchet MS"/>
          <w:sz w:val="20"/>
          <w:szCs w:val="20"/>
        </w:rPr>
        <w:t xml:space="preserve"> business-to-business outsourcing, where research shows this increases productivity as companies focus on core activities; </w:t>
      </w:r>
    </w:p>
    <w:p w14:paraId="51D9D3EE" w14:textId="3502515D" w:rsidR="00851C4D" w:rsidRPr="00745F4D" w:rsidRDefault="00851C4D" w:rsidP="00745F4D">
      <w:pPr>
        <w:numPr>
          <w:ilvl w:val="0"/>
          <w:numId w:val="27"/>
        </w:numPr>
        <w:spacing w:after="0" w:line="240" w:lineRule="auto"/>
        <w:jc w:val="both"/>
        <w:rPr>
          <w:rFonts w:ascii="Trebuchet MS" w:hAnsi="Trebuchet MS"/>
          <w:sz w:val="20"/>
          <w:szCs w:val="20"/>
        </w:rPr>
      </w:pPr>
      <w:r w:rsidRPr="00745F4D">
        <w:rPr>
          <w:rFonts w:ascii="Trebuchet MS" w:eastAsia="Times New Roman" w:hAnsi="Trebuchet MS" w:cs="Calibri"/>
          <w:color w:val="000000"/>
          <w:sz w:val="20"/>
          <w:szCs w:val="20"/>
          <w:lang w:eastAsia="en-US"/>
        </w:rPr>
        <w:t>specifically</w:t>
      </w:r>
      <w:r w:rsidRPr="00745F4D">
        <w:rPr>
          <w:rFonts w:ascii="Trebuchet MS" w:hAnsi="Trebuchet MS"/>
          <w:sz w:val="20"/>
          <w:szCs w:val="20"/>
        </w:rPr>
        <w:t xml:space="preserve"> through professional business services support. The Professional and Business Services Council has looked at the potential role of professional and business services providers to provide support through local ‘clinics’ for</w:t>
      </w:r>
      <w:r w:rsidR="00BC1AE2" w:rsidRPr="00745F4D">
        <w:rPr>
          <w:rFonts w:ascii="Trebuchet MS" w:hAnsi="Trebuchet MS"/>
          <w:sz w:val="20"/>
          <w:szCs w:val="20"/>
        </w:rPr>
        <w:t xml:space="preserve"> </w:t>
      </w:r>
      <w:r w:rsidRPr="00745F4D">
        <w:rPr>
          <w:rFonts w:ascii="Trebuchet MS" w:hAnsi="Trebuchet MS"/>
          <w:sz w:val="20"/>
          <w:szCs w:val="20"/>
        </w:rPr>
        <w:t xml:space="preserve">SMEs. Working with LEPs on regional networks of advice and support would be another way to develop this; and </w:t>
      </w:r>
    </w:p>
    <w:p w14:paraId="1956B6D8" w14:textId="2B1444CA" w:rsidR="00745F4D" w:rsidRPr="007C5F66" w:rsidRDefault="00851C4D" w:rsidP="00851C4D">
      <w:pPr>
        <w:numPr>
          <w:ilvl w:val="0"/>
          <w:numId w:val="27"/>
        </w:numPr>
        <w:spacing w:after="0" w:line="240" w:lineRule="auto"/>
        <w:jc w:val="both"/>
        <w:rPr>
          <w:rFonts w:ascii="Trebuchet MS" w:hAnsi="Trebuchet MS"/>
          <w:sz w:val="20"/>
          <w:szCs w:val="20"/>
        </w:rPr>
      </w:pPr>
      <w:r w:rsidRPr="00745F4D">
        <w:rPr>
          <w:rFonts w:ascii="Trebuchet MS" w:eastAsia="Times New Roman" w:hAnsi="Trebuchet MS" w:cs="Calibri"/>
          <w:color w:val="000000"/>
          <w:sz w:val="20"/>
          <w:szCs w:val="20"/>
          <w:lang w:eastAsia="en-US"/>
        </w:rPr>
        <w:t>through</w:t>
      </w:r>
      <w:r w:rsidRPr="00745F4D">
        <w:rPr>
          <w:rFonts w:ascii="Trebuchet MS" w:hAnsi="Trebuchet MS"/>
          <w:sz w:val="20"/>
          <w:szCs w:val="20"/>
        </w:rPr>
        <w:t xml:space="preserve"> equitable partnership arrangements between businesses of different sizes. Collaboration can help different sizes of </w:t>
      </w:r>
      <w:proofErr w:type="spellStart"/>
      <w:r w:rsidRPr="00745F4D">
        <w:rPr>
          <w:rFonts w:ascii="Trebuchet MS" w:hAnsi="Trebuchet MS"/>
          <w:sz w:val="20"/>
          <w:szCs w:val="20"/>
        </w:rPr>
        <w:t>organisations</w:t>
      </w:r>
      <w:proofErr w:type="spellEnd"/>
      <w:r w:rsidRPr="00745F4D">
        <w:rPr>
          <w:rFonts w:ascii="Trebuchet MS" w:hAnsi="Trebuchet MS"/>
          <w:sz w:val="20"/>
          <w:szCs w:val="20"/>
        </w:rPr>
        <w:t xml:space="preserve"> draw on their respective strengths. Larger </w:t>
      </w:r>
      <w:proofErr w:type="spellStart"/>
      <w:r w:rsidRPr="00745F4D">
        <w:rPr>
          <w:rFonts w:ascii="Trebuchet MS" w:hAnsi="Trebuchet MS"/>
          <w:sz w:val="20"/>
          <w:szCs w:val="20"/>
        </w:rPr>
        <w:t>organisations</w:t>
      </w:r>
      <w:proofErr w:type="spellEnd"/>
      <w:r w:rsidRPr="00745F4D">
        <w:rPr>
          <w:rFonts w:ascii="Trebuchet MS" w:hAnsi="Trebuchet MS"/>
          <w:sz w:val="20"/>
          <w:szCs w:val="20"/>
        </w:rPr>
        <w:t xml:space="preserve"> can help shoulder the risk and provide the up-front finance which are often necessary parts of contracts with public and private sectors alike. They can make full use of the external expertise and supply chain management they can bring to the table. </w:t>
      </w:r>
      <w:bookmarkStart w:id="0" w:name="_GoBack"/>
      <w:bookmarkEnd w:id="0"/>
    </w:p>
    <w:p w14:paraId="056D721B" w14:textId="238751B8" w:rsidR="00851C4D" w:rsidRPr="00745F4D" w:rsidRDefault="00851C4D" w:rsidP="00745F4D">
      <w:pPr>
        <w:pStyle w:val="Default"/>
        <w:numPr>
          <w:ilvl w:val="0"/>
          <w:numId w:val="34"/>
        </w:numPr>
        <w:rPr>
          <w:sz w:val="20"/>
          <w:szCs w:val="20"/>
        </w:rPr>
      </w:pPr>
      <w:r w:rsidRPr="00745F4D">
        <w:rPr>
          <w:sz w:val="20"/>
          <w:szCs w:val="20"/>
        </w:rPr>
        <w:t xml:space="preserve">The importance of equitable partnership means, for example: </w:t>
      </w:r>
    </w:p>
    <w:p w14:paraId="0D906177" w14:textId="77777777" w:rsidR="00745F4D" w:rsidRPr="00745F4D" w:rsidRDefault="00851C4D" w:rsidP="00851C4D">
      <w:pPr>
        <w:numPr>
          <w:ilvl w:val="0"/>
          <w:numId w:val="27"/>
        </w:numPr>
        <w:spacing w:after="0" w:line="240" w:lineRule="auto"/>
        <w:jc w:val="both"/>
        <w:rPr>
          <w:rFonts w:ascii="Trebuchet MS" w:hAnsi="Trebuchet MS"/>
          <w:sz w:val="20"/>
          <w:szCs w:val="20"/>
        </w:rPr>
      </w:pPr>
      <w:r w:rsidRPr="00745F4D">
        <w:rPr>
          <w:rFonts w:ascii="Trebuchet MS" w:hAnsi="Trebuchet MS"/>
          <w:sz w:val="20"/>
          <w:szCs w:val="20"/>
        </w:rPr>
        <w:t xml:space="preserve">it is incumbent, now in particular, on large </w:t>
      </w:r>
      <w:proofErr w:type="spellStart"/>
      <w:r w:rsidRPr="00745F4D">
        <w:rPr>
          <w:rFonts w:ascii="Trebuchet MS" w:hAnsi="Trebuchet MS"/>
          <w:sz w:val="20"/>
          <w:szCs w:val="20"/>
        </w:rPr>
        <w:t>organisations</w:t>
      </w:r>
      <w:proofErr w:type="spellEnd"/>
      <w:r w:rsidRPr="00745F4D">
        <w:rPr>
          <w:rFonts w:ascii="Trebuchet MS" w:hAnsi="Trebuchet MS"/>
          <w:sz w:val="20"/>
          <w:szCs w:val="20"/>
        </w:rPr>
        <w:t xml:space="preserve"> to pay their supply chains quickly, and respond in the text and spirit of PPNs 02/20 and 04/20; </w:t>
      </w:r>
    </w:p>
    <w:p w14:paraId="6C08469C" w14:textId="77777777" w:rsidR="00745F4D" w:rsidRPr="00745F4D" w:rsidRDefault="00851C4D" w:rsidP="00851C4D">
      <w:pPr>
        <w:numPr>
          <w:ilvl w:val="0"/>
          <w:numId w:val="27"/>
        </w:numPr>
        <w:spacing w:after="0" w:line="240" w:lineRule="auto"/>
        <w:jc w:val="both"/>
        <w:rPr>
          <w:rFonts w:ascii="Trebuchet MS" w:hAnsi="Trebuchet MS"/>
          <w:sz w:val="20"/>
          <w:szCs w:val="20"/>
        </w:rPr>
      </w:pPr>
      <w:r w:rsidRPr="00745F4D">
        <w:rPr>
          <w:rFonts w:ascii="Trebuchet MS" w:hAnsi="Trebuchet MS"/>
          <w:sz w:val="20"/>
          <w:szCs w:val="20"/>
        </w:rPr>
        <w:t xml:space="preserve">now and longer term there is a need for fair allocation of risk and reward; and </w:t>
      </w:r>
    </w:p>
    <w:p w14:paraId="6A865534" w14:textId="4CCCE8B5" w:rsidR="00851C4D" w:rsidRPr="00745F4D" w:rsidRDefault="00851C4D" w:rsidP="00851C4D">
      <w:pPr>
        <w:numPr>
          <w:ilvl w:val="0"/>
          <w:numId w:val="27"/>
        </w:numPr>
        <w:spacing w:after="0" w:line="240" w:lineRule="auto"/>
        <w:jc w:val="both"/>
        <w:rPr>
          <w:rFonts w:ascii="Trebuchet MS" w:hAnsi="Trebuchet MS"/>
          <w:sz w:val="20"/>
          <w:szCs w:val="20"/>
        </w:rPr>
      </w:pPr>
      <w:r w:rsidRPr="00745F4D">
        <w:rPr>
          <w:rFonts w:ascii="Trebuchet MS" w:hAnsi="Trebuchet MS"/>
          <w:sz w:val="20"/>
          <w:szCs w:val="20"/>
        </w:rPr>
        <w:t xml:space="preserve">larger and smaller organisations each need to be made aware of the opportunities available both to contract directly with the public sector and to collaborate with each other (for example with directories or networks of local suppliers, as well as the use of initiatives such as Contracts Finder). </w:t>
      </w:r>
    </w:p>
    <w:p w14:paraId="3DEF4075" w14:textId="72D92106" w:rsidR="00851C4D" w:rsidRPr="00745F4D" w:rsidRDefault="00851C4D" w:rsidP="00745F4D">
      <w:pPr>
        <w:pStyle w:val="ListParagraph"/>
        <w:numPr>
          <w:ilvl w:val="0"/>
          <w:numId w:val="5"/>
        </w:numPr>
        <w:spacing w:after="0" w:line="240" w:lineRule="auto"/>
        <w:jc w:val="both"/>
        <w:rPr>
          <w:rFonts w:ascii="Trebuchet MS" w:hAnsi="Trebuchet MS"/>
          <w:sz w:val="20"/>
          <w:szCs w:val="20"/>
        </w:rPr>
      </w:pPr>
      <w:r w:rsidRPr="00745F4D">
        <w:rPr>
          <w:rFonts w:ascii="Trebuchet MS" w:hAnsi="Trebuchet MS"/>
          <w:sz w:val="20"/>
          <w:szCs w:val="20"/>
        </w:rPr>
        <w:t xml:space="preserve">These objectives are all more likely to be achieved with long-term vision from public sector commissioners; investment in both procurement functions and contract management; equitable risk transfer; economic stability; and clear pipelines of work. They also require early engagement with businesses and VCSE </w:t>
      </w:r>
      <w:proofErr w:type="spellStart"/>
      <w:r w:rsidRPr="00745F4D">
        <w:rPr>
          <w:rFonts w:ascii="Trebuchet MS" w:hAnsi="Trebuchet MS"/>
          <w:sz w:val="20"/>
          <w:szCs w:val="20"/>
        </w:rPr>
        <w:t>organisations</w:t>
      </w:r>
      <w:proofErr w:type="spellEnd"/>
      <w:r w:rsidRPr="00745F4D">
        <w:rPr>
          <w:rFonts w:ascii="Trebuchet MS" w:hAnsi="Trebuchet MS"/>
          <w:sz w:val="20"/>
          <w:szCs w:val="20"/>
        </w:rPr>
        <w:t xml:space="preserve"> of all sizes, to bring in ideas on how value and social value outcomes, including in relation to community </w:t>
      </w:r>
      <w:proofErr w:type="spellStart"/>
      <w:r w:rsidRPr="00745F4D">
        <w:rPr>
          <w:rFonts w:ascii="Trebuchet MS" w:hAnsi="Trebuchet MS"/>
          <w:sz w:val="20"/>
          <w:szCs w:val="20"/>
        </w:rPr>
        <w:t>organisations</w:t>
      </w:r>
      <w:proofErr w:type="spellEnd"/>
      <w:r w:rsidRPr="00745F4D">
        <w:rPr>
          <w:rFonts w:ascii="Trebuchet MS" w:hAnsi="Trebuchet MS"/>
          <w:sz w:val="20"/>
          <w:szCs w:val="20"/>
        </w:rPr>
        <w:t xml:space="preserve">, can best be achieved. </w:t>
      </w:r>
    </w:p>
    <w:p w14:paraId="07F8C953" w14:textId="77777777" w:rsidR="00F31F2D" w:rsidRPr="00745F4D" w:rsidRDefault="00F31F2D" w:rsidP="00D8347A">
      <w:pPr>
        <w:spacing w:after="0" w:line="240" w:lineRule="auto"/>
        <w:jc w:val="both"/>
        <w:rPr>
          <w:rFonts w:ascii="Trebuchet MS" w:eastAsia="Times New Roman" w:hAnsi="Trebuchet MS" w:cs="Calibri"/>
          <w:color w:val="000000"/>
          <w:sz w:val="20"/>
          <w:szCs w:val="20"/>
          <w:lang w:eastAsia="en-US"/>
        </w:rPr>
      </w:pPr>
    </w:p>
    <w:p w14:paraId="350BD53F" w14:textId="1E09B9F7" w:rsidR="00016056" w:rsidRPr="00211871" w:rsidRDefault="00016056" w:rsidP="00D8347A">
      <w:pPr>
        <w:jc w:val="both"/>
        <w:rPr>
          <w:rFonts w:ascii="Trebuchet MS" w:hAnsi="Trebuchet MS"/>
          <w:b/>
          <w:sz w:val="20"/>
          <w:szCs w:val="20"/>
        </w:rPr>
      </w:pPr>
      <w:r w:rsidRPr="00211871">
        <w:rPr>
          <w:rFonts w:ascii="Trebuchet MS" w:hAnsi="Trebuchet MS"/>
          <w:b/>
          <w:sz w:val="20"/>
          <w:szCs w:val="20"/>
        </w:rPr>
        <w:t>Levelling-up    </w:t>
      </w:r>
    </w:p>
    <w:p w14:paraId="22009DF1" w14:textId="537D7F44" w:rsidR="00016056" w:rsidRPr="00BF318E" w:rsidRDefault="00016056"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Training and employment support provision </w:t>
      </w:r>
      <w:r w:rsidR="00C12B46" w:rsidRPr="00BF318E">
        <w:rPr>
          <w:rFonts w:ascii="Trebuchet MS" w:eastAsia="Times New Roman" w:hAnsi="Trebuchet MS" w:cs="Calibri"/>
          <w:color w:val="000000"/>
          <w:sz w:val="20"/>
          <w:szCs w:val="20"/>
          <w:lang w:eastAsia="en-US"/>
        </w:rPr>
        <w:t xml:space="preserve">across all sectors </w:t>
      </w:r>
      <w:r w:rsidRPr="00BF318E">
        <w:rPr>
          <w:rFonts w:ascii="Trebuchet MS" w:eastAsia="Times New Roman" w:hAnsi="Trebuchet MS" w:cs="Calibri"/>
          <w:color w:val="000000"/>
          <w:sz w:val="20"/>
          <w:szCs w:val="20"/>
          <w:lang w:eastAsia="en-US"/>
        </w:rPr>
        <w:t>needs to be a priority, to help all groups access the jobs that become available. That includes making sure training and employment support providers can survive the lockdown, for example through effective Supplier Relief and flexible apprenticeship levy rules, and that there is a focus on helping those groups with particular needs who may have been hit hardest by the lockdown.</w:t>
      </w:r>
    </w:p>
    <w:p w14:paraId="0CB7E80B" w14:textId="0A1E7DCA" w:rsidR="00016056" w:rsidRPr="00BF318E" w:rsidRDefault="00016056"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The infrastructure and construction pipeline also needs to focus on those areas of the country where there is greatest need to kickstart the economy, including through the Green Book Review.</w:t>
      </w:r>
    </w:p>
    <w:p w14:paraId="54FC7677" w14:textId="1A542B27" w:rsidR="005C32D0" w:rsidRPr="00BF318E" w:rsidRDefault="005C32D0"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Therefore, the voice</w:t>
      </w:r>
      <w:r w:rsidR="0019296B" w:rsidRPr="00BF318E">
        <w:rPr>
          <w:rFonts w:ascii="Trebuchet MS" w:eastAsia="Times New Roman" w:hAnsi="Trebuchet MS" w:cs="Calibri"/>
          <w:color w:val="000000"/>
          <w:sz w:val="20"/>
          <w:szCs w:val="20"/>
          <w:lang w:eastAsia="en-US"/>
        </w:rPr>
        <w:t>s</w:t>
      </w:r>
      <w:r w:rsidRPr="00BF318E">
        <w:rPr>
          <w:rFonts w:ascii="Trebuchet MS" w:eastAsia="Times New Roman" w:hAnsi="Trebuchet MS" w:cs="Calibri"/>
          <w:color w:val="000000"/>
          <w:sz w:val="20"/>
          <w:szCs w:val="20"/>
          <w:lang w:eastAsia="en-US"/>
        </w:rPr>
        <w:t xml:space="preserve"> of local communities, beneficiaries and local and devolved </w:t>
      </w:r>
      <w:r w:rsidR="00173745" w:rsidRPr="00BF318E">
        <w:rPr>
          <w:rFonts w:ascii="Trebuchet MS" w:eastAsia="Times New Roman" w:hAnsi="Trebuchet MS" w:cs="Calibri"/>
          <w:color w:val="000000"/>
          <w:sz w:val="20"/>
          <w:szCs w:val="20"/>
          <w:lang w:eastAsia="en-US"/>
        </w:rPr>
        <w:t>gover</w:t>
      </w:r>
      <w:r w:rsidR="00EA3B8F" w:rsidRPr="00BF318E">
        <w:rPr>
          <w:rFonts w:ascii="Trebuchet MS" w:eastAsia="Times New Roman" w:hAnsi="Trebuchet MS" w:cs="Calibri"/>
          <w:color w:val="000000"/>
          <w:sz w:val="20"/>
          <w:szCs w:val="20"/>
          <w:lang w:eastAsia="en-US"/>
        </w:rPr>
        <w:t xml:space="preserve">nment should be heard in the </w:t>
      </w:r>
      <w:r w:rsidR="0009430F" w:rsidRPr="00BF318E">
        <w:rPr>
          <w:rFonts w:ascii="Trebuchet MS" w:eastAsia="Times New Roman" w:hAnsi="Trebuchet MS" w:cs="Calibri"/>
          <w:color w:val="000000"/>
          <w:sz w:val="20"/>
          <w:szCs w:val="20"/>
          <w:lang w:eastAsia="en-US"/>
        </w:rPr>
        <w:t>decision-making process</w:t>
      </w:r>
      <w:r w:rsidR="00046E4A" w:rsidRPr="00BF318E">
        <w:rPr>
          <w:rFonts w:ascii="Trebuchet MS" w:eastAsia="Times New Roman" w:hAnsi="Trebuchet MS" w:cs="Calibri"/>
          <w:color w:val="000000"/>
          <w:sz w:val="20"/>
          <w:szCs w:val="20"/>
          <w:lang w:eastAsia="en-US"/>
        </w:rPr>
        <w:t xml:space="preserve"> about the restart and subsequent time period</w:t>
      </w:r>
      <w:r w:rsidR="0009430F" w:rsidRPr="00BF318E">
        <w:rPr>
          <w:rFonts w:ascii="Trebuchet MS" w:eastAsia="Times New Roman" w:hAnsi="Trebuchet MS" w:cs="Calibri"/>
          <w:color w:val="000000"/>
          <w:sz w:val="20"/>
          <w:szCs w:val="20"/>
          <w:lang w:eastAsia="en-US"/>
        </w:rPr>
        <w:t xml:space="preserve">. </w:t>
      </w:r>
    </w:p>
    <w:p w14:paraId="0ED875DC" w14:textId="77777777" w:rsidR="001E551D" w:rsidRPr="00BF318E" w:rsidRDefault="0009430F"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In support of the two preceding bullets, there should be a renewed emphasis </w:t>
      </w:r>
      <w:r w:rsidR="00D918C3" w:rsidRPr="00BF318E">
        <w:rPr>
          <w:rFonts w:ascii="Trebuchet MS" w:eastAsia="Times New Roman" w:hAnsi="Trebuchet MS" w:cs="Calibri"/>
          <w:color w:val="000000"/>
          <w:sz w:val="20"/>
          <w:szCs w:val="20"/>
          <w:lang w:eastAsia="en-US"/>
        </w:rPr>
        <w:t xml:space="preserve">on wider value in public procurement, especially social value and justice, in contracting for services in the public space. Early engagement </w:t>
      </w:r>
      <w:r w:rsidR="00865D7D" w:rsidRPr="00BF318E">
        <w:rPr>
          <w:rFonts w:ascii="Trebuchet MS" w:eastAsia="Times New Roman" w:hAnsi="Trebuchet MS" w:cs="Calibri"/>
          <w:color w:val="000000"/>
          <w:sz w:val="20"/>
          <w:szCs w:val="20"/>
          <w:lang w:eastAsia="en-US"/>
        </w:rPr>
        <w:t xml:space="preserve">with the private and VCSE sectors should be initiated with the aim to capture best practice that can be scaled and replicated at speed with the aim of maximising </w:t>
      </w:r>
      <w:r w:rsidR="00CF5CEE" w:rsidRPr="00BF318E">
        <w:rPr>
          <w:rFonts w:ascii="Trebuchet MS" w:eastAsia="Times New Roman" w:hAnsi="Trebuchet MS" w:cs="Calibri"/>
          <w:color w:val="000000"/>
          <w:sz w:val="20"/>
          <w:szCs w:val="20"/>
          <w:lang w:eastAsia="en-US"/>
        </w:rPr>
        <w:t>social value and value for money (mutually supporting but not interchangeable).</w:t>
      </w:r>
    </w:p>
    <w:p w14:paraId="7AC827BC" w14:textId="03EEA0CE" w:rsidR="0009430F" w:rsidRPr="00BF318E" w:rsidRDefault="001E551D"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Similarly, digital innovation has made great advances as a consequence of Covid-19 and these too must be secured and built upon, including investment in ensuring equal access to these benefits by all, and support to continue the use of, and further develop digital solutions that have been deployed during the crisis. </w:t>
      </w:r>
      <w:r w:rsidR="00CF5CEE" w:rsidRPr="00BF318E">
        <w:rPr>
          <w:rFonts w:ascii="Trebuchet MS" w:eastAsia="Times New Roman" w:hAnsi="Trebuchet MS" w:cs="Calibri"/>
          <w:color w:val="000000"/>
          <w:sz w:val="20"/>
          <w:szCs w:val="20"/>
          <w:lang w:eastAsia="en-US"/>
        </w:rPr>
        <w:t xml:space="preserve"> </w:t>
      </w:r>
    </w:p>
    <w:p w14:paraId="67AC4770" w14:textId="7AB1533C" w:rsidR="00016056" w:rsidRPr="00BF318E" w:rsidRDefault="00046E4A"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As a consequence of Covid-19, local communities have found innovative ways to care for vulnerable people in their communities. This hard won experience of what beneficiaries need (type, place, time, quantity etc) and how the local level brigaded to accommodate its provision should be subject to early lessons identified for capture and analysis. The understanding gained should be used to inform local public service provision in concert with the communities to be served. </w:t>
      </w:r>
    </w:p>
    <w:p w14:paraId="4A7A1F3D" w14:textId="2C71BB33" w:rsidR="00583606" w:rsidRPr="00BF318E" w:rsidRDefault="00583606" w:rsidP="00D8347A">
      <w:pPr>
        <w:spacing w:after="0" w:line="240" w:lineRule="auto"/>
        <w:jc w:val="both"/>
        <w:rPr>
          <w:rFonts w:ascii="Trebuchet MS" w:eastAsia="Times New Roman" w:hAnsi="Trebuchet MS" w:cs="Calibri"/>
          <w:color w:val="000000"/>
          <w:sz w:val="20"/>
          <w:szCs w:val="20"/>
          <w:lang w:eastAsia="en-US"/>
        </w:rPr>
      </w:pPr>
    </w:p>
    <w:p w14:paraId="222760A1" w14:textId="3F9D2007" w:rsidR="00583606" w:rsidRPr="00211871" w:rsidRDefault="00211871" w:rsidP="00D8347A">
      <w:pPr>
        <w:spacing w:after="0" w:line="240" w:lineRule="auto"/>
        <w:jc w:val="both"/>
        <w:rPr>
          <w:rFonts w:ascii="Trebuchet MS" w:eastAsia="Times New Roman" w:hAnsi="Trebuchet MS" w:cs="Calibri"/>
          <w:b/>
          <w:color w:val="000000"/>
          <w:sz w:val="20"/>
          <w:szCs w:val="20"/>
          <w:lang w:eastAsia="en-US"/>
        </w:rPr>
      </w:pPr>
      <w:r>
        <w:rPr>
          <w:rFonts w:ascii="Trebuchet MS" w:eastAsia="Times New Roman" w:hAnsi="Trebuchet MS" w:cs="Calibri"/>
          <w:b/>
          <w:color w:val="000000"/>
          <w:sz w:val="20"/>
          <w:szCs w:val="20"/>
          <w:lang w:eastAsia="en-US"/>
        </w:rPr>
        <w:t>P</w:t>
      </w:r>
      <w:r w:rsidR="00D8347A" w:rsidRPr="00211871">
        <w:rPr>
          <w:rFonts w:ascii="Trebuchet MS" w:eastAsia="Times New Roman" w:hAnsi="Trebuchet MS" w:cs="Calibri"/>
          <w:b/>
          <w:color w:val="000000"/>
          <w:sz w:val="20"/>
          <w:szCs w:val="20"/>
          <w:lang w:eastAsia="en-US"/>
        </w:rPr>
        <w:t xml:space="preserve">roductivity and innovation </w:t>
      </w:r>
    </w:p>
    <w:p w14:paraId="76E78043" w14:textId="2A308BF8" w:rsidR="00583606" w:rsidRPr="00BF318E" w:rsidRDefault="00583606" w:rsidP="00D8347A">
      <w:pPr>
        <w:spacing w:after="0" w:line="240" w:lineRule="auto"/>
        <w:jc w:val="both"/>
        <w:rPr>
          <w:rFonts w:ascii="Trebuchet MS" w:eastAsia="Times New Roman" w:hAnsi="Trebuchet MS" w:cs="Calibri"/>
          <w:color w:val="000000"/>
          <w:sz w:val="20"/>
          <w:szCs w:val="20"/>
          <w:lang w:eastAsia="en-US"/>
        </w:rPr>
      </w:pPr>
    </w:p>
    <w:p w14:paraId="65244FF2" w14:textId="1AE67786" w:rsidR="00583606" w:rsidRPr="00BF318E" w:rsidRDefault="00583606"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The Government should consider what stimulus is required to effect a strong rebound on a sector</w:t>
      </w:r>
      <w:r w:rsidR="00AC5293">
        <w:rPr>
          <w:rFonts w:ascii="Trebuchet MS" w:eastAsia="Times New Roman" w:hAnsi="Trebuchet MS" w:cs="Calibri"/>
          <w:color w:val="000000"/>
          <w:sz w:val="20"/>
          <w:szCs w:val="20"/>
          <w:lang w:eastAsia="en-US"/>
        </w:rPr>
        <w:t>-</w:t>
      </w:r>
      <w:r w:rsidRPr="00BF318E">
        <w:rPr>
          <w:rFonts w:ascii="Trebuchet MS" w:eastAsia="Times New Roman" w:hAnsi="Trebuchet MS" w:cs="Calibri"/>
          <w:color w:val="000000"/>
          <w:sz w:val="20"/>
          <w:szCs w:val="20"/>
          <w:lang w:eastAsia="en-US"/>
        </w:rPr>
        <w:t>by</w:t>
      </w:r>
      <w:r w:rsidR="00AC5293">
        <w:rPr>
          <w:rFonts w:ascii="Trebuchet MS" w:eastAsia="Times New Roman" w:hAnsi="Trebuchet MS" w:cs="Calibri"/>
          <w:color w:val="000000"/>
          <w:sz w:val="20"/>
          <w:szCs w:val="20"/>
          <w:lang w:eastAsia="en-US"/>
        </w:rPr>
        <w:t>-</w:t>
      </w:r>
      <w:r w:rsidRPr="00BF318E">
        <w:rPr>
          <w:rFonts w:ascii="Trebuchet MS" w:eastAsia="Times New Roman" w:hAnsi="Trebuchet MS" w:cs="Calibri"/>
          <w:color w:val="000000"/>
          <w:sz w:val="20"/>
          <w:szCs w:val="20"/>
          <w:lang w:eastAsia="en-US"/>
        </w:rPr>
        <w:t xml:space="preserve">sector basis. The Government could accelerate project work which would help future proof its own infrastructure from a sustainability, resilience and post COVID-19 agile working perspective. This could include; </w:t>
      </w:r>
    </w:p>
    <w:p w14:paraId="3D1BF398" w14:textId="77777777" w:rsidR="00583606" w:rsidRPr="00BF318E" w:rsidRDefault="00583606" w:rsidP="00AC5293">
      <w:pPr>
        <w:pStyle w:val="ListParagraph"/>
        <w:numPr>
          <w:ilvl w:val="0"/>
          <w:numId w:val="31"/>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 xml:space="preserve">Energy efficiency works </w:t>
      </w:r>
    </w:p>
    <w:p w14:paraId="745CF1A5" w14:textId="77777777" w:rsidR="00583606" w:rsidRPr="00BF318E" w:rsidRDefault="00583606" w:rsidP="00AC5293">
      <w:pPr>
        <w:pStyle w:val="ListParagraph"/>
        <w:numPr>
          <w:ilvl w:val="0"/>
          <w:numId w:val="31"/>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 xml:space="preserve">Lifecycle work in data centres </w:t>
      </w:r>
    </w:p>
    <w:p w14:paraId="2CAF4892" w14:textId="3BC13042" w:rsidR="00583606" w:rsidRPr="00BF318E" w:rsidRDefault="00583606" w:rsidP="00AC5293">
      <w:pPr>
        <w:pStyle w:val="ListParagraph"/>
        <w:numPr>
          <w:ilvl w:val="0"/>
          <w:numId w:val="31"/>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 xml:space="preserve">Work to support telecoms </w:t>
      </w:r>
      <w:r w:rsidR="00C70685">
        <w:rPr>
          <w:rFonts w:ascii="Trebuchet MS" w:eastAsia="Times New Roman" w:hAnsi="Trebuchet MS"/>
          <w:sz w:val="20"/>
          <w:szCs w:val="20"/>
        </w:rPr>
        <w:t xml:space="preserve">and digital </w:t>
      </w:r>
      <w:r w:rsidRPr="00BF318E">
        <w:rPr>
          <w:rFonts w:ascii="Trebuchet MS" w:eastAsia="Times New Roman" w:hAnsi="Trebuchet MS"/>
          <w:sz w:val="20"/>
          <w:szCs w:val="20"/>
        </w:rPr>
        <w:t xml:space="preserve">infrastructure </w:t>
      </w:r>
    </w:p>
    <w:p w14:paraId="5B7FC5CE" w14:textId="77777777" w:rsidR="00583606" w:rsidRPr="00BF318E" w:rsidRDefault="00583606" w:rsidP="00AC5293">
      <w:pPr>
        <w:pStyle w:val="ListParagraph"/>
        <w:numPr>
          <w:ilvl w:val="0"/>
          <w:numId w:val="31"/>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 xml:space="preserve">Works to increase flexibility e.g. fit out, HVAC modifications, sensor </w:t>
      </w:r>
    </w:p>
    <w:p w14:paraId="4FD45597" w14:textId="77777777" w:rsidR="00583606" w:rsidRPr="00BF318E" w:rsidRDefault="00583606" w:rsidP="00AC5293">
      <w:pPr>
        <w:pStyle w:val="ListParagraph"/>
        <w:numPr>
          <w:ilvl w:val="0"/>
          <w:numId w:val="31"/>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 xml:space="preserve">Enhancements to BMS to allow more remote monitoring </w:t>
      </w:r>
    </w:p>
    <w:p w14:paraId="1FE44EF5" w14:textId="77777777" w:rsidR="00583606" w:rsidRPr="00BF318E" w:rsidRDefault="00583606" w:rsidP="00AC5293">
      <w:pPr>
        <w:pStyle w:val="ListParagraph"/>
        <w:numPr>
          <w:ilvl w:val="0"/>
          <w:numId w:val="31"/>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Workplace design</w:t>
      </w:r>
    </w:p>
    <w:p w14:paraId="7DE72F73" w14:textId="70854855" w:rsidR="00BF318E" w:rsidRPr="00BF318E" w:rsidRDefault="00583606" w:rsidP="00AC5293">
      <w:pPr>
        <w:pStyle w:val="ListParagraph"/>
        <w:numPr>
          <w:ilvl w:val="0"/>
          <w:numId w:val="31"/>
        </w:numPr>
        <w:spacing w:after="0" w:line="240" w:lineRule="auto"/>
        <w:contextualSpacing w:val="0"/>
        <w:jc w:val="both"/>
        <w:rPr>
          <w:rFonts w:ascii="Trebuchet MS" w:eastAsia="Times New Roman" w:hAnsi="Trebuchet MS"/>
          <w:sz w:val="20"/>
          <w:szCs w:val="20"/>
        </w:rPr>
      </w:pPr>
      <w:r w:rsidRPr="00BF318E">
        <w:rPr>
          <w:rFonts w:ascii="Trebuchet MS" w:eastAsia="Times New Roman" w:hAnsi="Trebuchet MS"/>
          <w:sz w:val="20"/>
          <w:szCs w:val="20"/>
        </w:rPr>
        <w:t>Moves and changes</w:t>
      </w:r>
    </w:p>
    <w:p w14:paraId="402E895E" w14:textId="0C3B1AEF" w:rsidR="00AC5293" w:rsidRPr="00AC5293" w:rsidRDefault="00583606" w:rsidP="00AC5293">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Longer term, there will undoubtedly be a budget squeeze both in government and industry. As a consequence, a lot of public sector organisations won’t be in a position to invest heavily in new technology and innovations. There will need to be wider conversations about maximising existing services and working with specialist companies to support investment, technology and skills development. This will only be possible through a partnership approach between government and companies. To enable this partnership to work for both parties, the following will need to be considered</w:t>
      </w:r>
      <w:r w:rsidR="00AC5293">
        <w:rPr>
          <w:rFonts w:ascii="Trebuchet MS" w:eastAsia="Times New Roman" w:hAnsi="Trebuchet MS" w:cs="Calibri"/>
          <w:color w:val="000000"/>
          <w:sz w:val="20"/>
          <w:szCs w:val="20"/>
          <w:lang w:eastAsia="en-US"/>
        </w:rPr>
        <w:t>:</w:t>
      </w:r>
    </w:p>
    <w:p w14:paraId="2318C44A" w14:textId="77777777" w:rsidR="00583606" w:rsidRPr="00AC5293" w:rsidRDefault="00583606" w:rsidP="00AC5293">
      <w:pPr>
        <w:pStyle w:val="ListParagraph"/>
        <w:numPr>
          <w:ilvl w:val="0"/>
          <w:numId w:val="30"/>
        </w:numPr>
        <w:spacing w:after="0" w:line="240" w:lineRule="auto"/>
        <w:jc w:val="both"/>
        <w:rPr>
          <w:rFonts w:ascii="Trebuchet MS" w:eastAsia="Times New Roman" w:hAnsi="Trebuchet MS"/>
          <w:sz w:val="20"/>
          <w:szCs w:val="20"/>
        </w:rPr>
      </w:pPr>
      <w:r w:rsidRPr="00AC5293">
        <w:rPr>
          <w:rFonts w:ascii="Trebuchet MS" w:eastAsia="Times New Roman" w:hAnsi="Trebuchet MS"/>
          <w:sz w:val="20"/>
          <w:szCs w:val="20"/>
        </w:rPr>
        <w:t xml:space="preserve">Longer contract terms to enable companies to invest in technology </w:t>
      </w:r>
    </w:p>
    <w:p w14:paraId="082F22B4" w14:textId="77777777" w:rsidR="00583606" w:rsidRPr="00AC5293" w:rsidRDefault="00583606" w:rsidP="00AC5293">
      <w:pPr>
        <w:pStyle w:val="ListParagraph"/>
        <w:numPr>
          <w:ilvl w:val="0"/>
          <w:numId w:val="30"/>
        </w:numPr>
        <w:spacing w:after="0" w:line="240" w:lineRule="auto"/>
        <w:jc w:val="both"/>
        <w:rPr>
          <w:rFonts w:ascii="Trebuchet MS" w:eastAsia="Times New Roman" w:hAnsi="Trebuchet MS"/>
          <w:sz w:val="20"/>
          <w:szCs w:val="20"/>
        </w:rPr>
      </w:pPr>
      <w:r w:rsidRPr="00AC5293">
        <w:rPr>
          <w:rFonts w:ascii="Trebuchet MS" w:eastAsia="Times New Roman" w:hAnsi="Trebuchet MS"/>
          <w:sz w:val="20"/>
          <w:szCs w:val="20"/>
        </w:rPr>
        <w:t>A collaborative, sympathetic approach to jointly identify opportunities and develop technology and service solutions</w:t>
      </w:r>
    </w:p>
    <w:p w14:paraId="13530260" w14:textId="77777777" w:rsidR="00583606" w:rsidRPr="00AC5293" w:rsidRDefault="00583606" w:rsidP="00AC5293">
      <w:pPr>
        <w:pStyle w:val="ListParagraph"/>
        <w:numPr>
          <w:ilvl w:val="0"/>
          <w:numId w:val="30"/>
        </w:numPr>
        <w:spacing w:after="0" w:line="240" w:lineRule="auto"/>
        <w:jc w:val="both"/>
        <w:rPr>
          <w:rFonts w:ascii="Trebuchet MS" w:eastAsia="Times New Roman" w:hAnsi="Trebuchet MS"/>
          <w:sz w:val="20"/>
          <w:szCs w:val="20"/>
        </w:rPr>
      </w:pPr>
      <w:r w:rsidRPr="00AC5293">
        <w:rPr>
          <w:rFonts w:ascii="Trebuchet MS" w:eastAsia="Times New Roman" w:hAnsi="Trebuchet MS"/>
          <w:sz w:val="20"/>
          <w:szCs w:val="20"/>
        </w:rPr>
        <w:t>Disciplined and focused innovation that delivers tangible results</w:t>
      </w:r>
    </w:p>
    <w:p w14:paraId="728ECC14" w14:textId="5284EEE2" w:rsidR="00583606" w:rsidRPr="00AC5293" w:rsidRDefault="00583606" w:rsidP="00AC5293">
      <w:pPr>
        <w:pStyle w:val="ListParagraph"/>
        <w:numPr>
          <w:ilvl w:val="0"/>
          <w:numId w:val="30"/>
        </w:numPr>
        <w:spacing w:after="0" w:line="240" w:lineRule="auto"/>
        <w:jc w:val="both"/>
        <w:rPr>
          <w:rFonts w:ascii="Trebuchet MS" w:eastAsia="Times New Roman" w:hAnsi="Trebuchet MS"/>
          <w:sz w:val="20"/>
          <w:szCs w:val="20"/>
        </w:rPr>
      </w:pPr>
      <w:r w:rsidRPr="00AC5293">
        <w:rPr>
          <w:rFonts w:ascii="Trebuchet MS" w:eastAsia="Times New Roman" w:hAnsi="Trebuchet MS"/>
          <w:sz w:val="20"/>
          <w:szCs w:val="20"/>
        </w:rPr>
        <w:t>Contract innovation fund which is separate from business as usual activity</w:t>
      </w:r>
      <w:r w:rsidR="00AC5293">
        <w:rPr>
          <w:rFonts w:ascii="Trebuchet MS" w:eastAsia="Times New Roman" w:hAnsi="Trebuchet MS"/>
          <w:sz w:val="20"/>
          <w:szCs w:val="20"/>
        </w:rPr>
        <w:t>.</w:t>
      </w:r>
      <w:r w:rsidRPr="00AC5293">
        <w:rPr>
          <w:rFonts w:ascii="Trebuchet MS" w:eastAsia="Times New Roman" w:hAnsi="Trebuchet MS"/>
          <w:sz w:val="20"/>
          <w:szCs w:val="20"/>
        </w:rPr>
        <w:t xml:space="preserve"> </w:t>
      </w:r>
    </w:p>
    <w:p w14:paraId="5BF0A1BF" w14:textId="48698D0B" w:rsidR="00583606" w:rsidRPr="00BF318E" w:rsidRDefault="00583606"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In addition to technology and innovation there will be an opportunity to simplify the process of becoming apprenticeship providers. Companies should be able to develop their own bespoke apprenticeships.</w:t>
      </w:r>
    </w:p>
    <w:p w14:paraId="168EC4C1" w14:textId="1D195578" w:rsidR="00583606" w:rsidRPr="00BF318E" w:rsidRDefault="00583606"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 xml:space="preserve">Even with possible budget constraints there will be an opportunity to generate employment by accelerating project works that needed be done across government department estates. </w:t>
      </w:r>
    </w:p>
    <w:p w14:paraId="3CB4BDFE" w14:textId="53F6364B" w:rsidR="003150E4" w:rsidRPr="00BF318E" w:rsidRDefault="0041508F"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C61CAB">
        <w:rPr>
          <w:rFonts w:ascii="Trebuchet MS" w:eastAsia="Times New Roman" w:hAnsi="Trebuchet MS" w:cs="Calibri"/>
          <w:color w:val="000000"/>
          <w:sz w:val="20"/>
          <w:szCs w:val="20"/>
          <w:lang w:eastAsia="en-US"/>
        </w:rPr>
        <w:t xml:space="preserve">A recommitment to government-led investment will be helpful in rebuilding confidence and the private sector will follow. More investment in broadband speed and availability should be speeded up and mandated by </w:t>
      </w:r>
      <w:r w:rsidR="00B53C2E">
        <w:rPr>
          <w:rFonts w:ascii="Trebuchet MS" w:eastAsia="Times New Roman" w:hAnsi="Trebuchet MS" w:cs="Calibri"/>
          <w:color w:val="000000"/>
          <w:sz w:val="20"/>
          <w:szCs w:val="20"/>
          <w:lang w:eastAsia="en-US"/>
        </w:rPr>
        <w:t>g</w:t>
      </w:r>
      <w:r w:rsidRPr="00C61CAB">
        <w:rPr>
          <w:rFonts w:ascii="Trebuchet MS" w:eastAsia="Times New Roman" w:hAnsi="Trebuchet MS" w:cs="Calibri"/>
          <w:color w:val="000000"/>
          <w:sz w:val="20"/>
          <w:szCs w:val="20"/>
          <w:lang w:eastAsia="en-US"/>
        </w:rPr>
        <w:t>overnment.</w:t>
      </w:r>
    </w:p>
    <w:p w14:paraId="02DC600F" w14:textId="77777777" w:rsidR="00C70685" w:rsidRPr="00C70685" w:rsidRDefault="006B5E69" w:rsidP="00C70685">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D8347A">
        <w:rPr>
          <w:rFonts w:ascii="Trebuchet MS" w:hAnsi="Trebuchet MS" w:cstheme="minorHAnsi"/>
          <w:sz w:val="20"/>
          <w:szCs w:val="20"/>
        </w:rPr>
        <w:t>Digital Technology continues to be a vital enabler of economic growth, the Government should therefore look to create Enterprise Zones following the end of the lockdown that are focused on using digital technology to aid entrepreneurs.</w:t>
      </w:r>
    </w:p>
    <w:p w14:paraId="5A603854" w14:textId="77777777" w:rsidR="00CC0177" w:rsidRPr="00CC0177" w:rsidRDefault="006B5E69" w:rsidP="00CC0177">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C70685">
        <w:rPr>
          <w:rFonts w:ascii="Trebuchet MS" w:hAnsi="Trebuchet MS" w:cstheme="minorHAnsi"/>
          <w:sz w:val="20"/>
          <w:szCs w:val="20"/>
        </w:rPr>
        <w:t>Digital Technology can help to ensure regional inequalities are overcome rather than entrenched during the recovery from lockdown through enabling business to use the power of big data to overcome local challenges and restrictions.</w:t>
      </w:r>
    </w:p>
    <w:p w14:paraId="0418A3A9" w14:textId="77777777" w:rsidR="00CC0177" w:rsidRPr="00CC0177" w:rsidRDefault="006B5E69" w:rsidP="00CC0177">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CC0177">
        <w:rPr>
          <w:rFonts w:ascii="Trebuchet MS" w:hAnsi="Trebuchet MS" w:cstheme="minorHAnsi"/>
          <w:sz w:val="20"/>
          <w:szCs w:val="20"/>
        </w:rPr>
        <w:t>Government should accelerate digital transformation programmes within Whitehall and across local government to help to ensure continued access to essential services.</w:t>
      </w:r>
    </w:p>
    <w:p w14:paraId="73B761D0" w14:textId="77777777" w:rsidR="00CC0177" w:rsidRPr="00CC0177" w:rsidRDefault="006B5E69" w:rsidP="00CC0177">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CC0177">
        <w:rPr>
          <w:rFonts w:ascii="Trebuchet MS" w:hAnsi="Trebuchet MS" w:cstheme="minorHAnsi"/>
          <w:sz w:val="20"/>
          <w:szCs w:val="20"/>
        </w:rPr>
        <w:t>Government should use the Accelerated Innovation Partnership model which has helped to deliver rapid progress in the initial stages of the Covid-19 outbreak (e.g. ventilator manufacturing) to spur the economic recovery in other areas.</w:t>
      </w:r>
    </w:p>
    <w:p w14:paraId="05457691" w14:textId="77777777" w:rsidR="00AF3F33" w:rsidRPr="00AF3F33" w:rsidRDefault="006B5E69" w:rsidP="00AF3F33">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CC0177">
        <w:rPr>
          <w:rFonts w:ascii="Trebuchet MS" w:hAnsi="Trebuchet MS" w:cstheme="minorHAnsi"/>
          <w:sz w:val="20"/>
          <w:szCs w:val="20"/>
        </w:rPr>
        <w:t>Government should outline how it intends to help businesses to build on those digital transformation projects which have been accelerated in response to the Covid-19 outbreak.</w:t>
      </w:r>
    </w:p>
    <w:p w14:paraId="443EA87E" w14:textId="78D4BE7F" w:rsidR="006B5E69" w:rsidRPr="00BD4D65" w:rsidRDefault="006B5E69" w:rsidP="00D8347A">
      <w:pPr>
        <w:pStyle w:val="ListParagraph"/>
        <w:numPr>
          <w:ilvl w:val="0"/>
          <w:numId w:val="5"/>
        </w:numPr>
        <w:spacing w:after="0" w:line="240" w:lineRule="auto"/>
        <w:jc w:val="both"/>
        <w:rPr>
          <w:rFonts w:ascii="Trebuchet MS" w:eastAsia="Times New Roman" w:hAnsi="Trebuchet MS" w:cs="Calibri"/>
          <w:color w:val="000000"/>
          <w:sz w:val="20"/>
          <w:szCs w:val="20"/>
          <w:lang w:eastAsia="en-US"/>
        </w:rPr>
      </w:pPr>
      <w:r w:rsidRPr="00AF3F33">
        <w:rPr>
          <w:rFonts w:ascii="Trebuchet MS" w:hAnsi="Trebuchet MS" w:cstheme="minorHAnsi"/>
          <w:sz w:val="20"/>
          <w:szCs w:val="20"/>
        </w:rPr>
        <w:t>The lessons of lockdown for approaches to sustainable growth should not be lost: continuing to reduce our carbon footprint must remain a central focus</w:t>
      </w:r>
      <w:r w:rsidR="00D8347A" w:rsidRPr="00AF3F33">
        <w:rPr>
          <w:rFonts w:ascii="Trebuchet MS" w:hAnsi="Trebuchet MS" w:cstheme="minorHAnsi"/>
          <w:sz w:val="20"/>
          <w:szCs w:val="20"/>
        </w:rPr>
        <w:t>.</w:t>
      </w:r>
      <w:r w:rsidRPr="00AF3F33">
        <w:rPr>
          <w:rFonts w:ascii="Trebuchet MS" w:hAnsi="Trebuchet MS" w:cstheme="minorHAnsi"/>
          <w:sz w:val="20"/>
          <w:szCs w:val="20"/>
        </w:rPr>
        <w:t xml:space="preserve"> </w:t>
      </w:r>
    </w:p>
    <w:p w14:paraId="159BD011" w14:textId="77777777" w:rsidR="008F553B" w:rsidRPr="00BF318E" w:rsidRDefault="008F553B" w:rsidP="008F553B">
      <w:pPr>
        <w:pStyle w:val="ListParagraph"/>
        <w:numPr>
          <w:ilvl w:val="0"/>
          <w:numId w:val="4"/>
        </w:numPr>
        <w:spacing w:after="0" w:line="240" w:lineRule="auto"/>
        <w:ind w:left="360"/>
        <w:jc w:val="both"/>
        <w:rPr>
          <w:rFonts w:ascii="Trebuchet MS" w:eastAsia="Times New Roman" w:hAnsi="Trebuchet MS" w:cs="Calibri"/>
          <w:color w:val="000000"/>
          <w:sz w:val="20"/>
          <w:szCs w:val="20"/>
          <w:lang w:eastAsia="en-US"/>
        </w:rPr>
      </w:pPr>
      <w:r w:rsidRPr="00BF318E">
        <w:rPr>
          <w:rFonts w:ascii="Trebuchet MS" w:eastAsia="Times New Roman" w:hAnsi="Trebuchet MS" w:cs="Calibri"/>
          <w:color w:val="000000"/>
          <w:sz w:val="20"/>
          <w:szCs w:val="20"/>
          <w:lang w:eastAsia="en-US"/>
        </w:rPr>
        <w:t>The NHS does</w:t>
      </w:r>
      <w:r>
        <w:rPr>
          <w:rFonts w:ascii="Trebuchet MS" w:eastAsia="Times New Roman" w:hAnsi="Trebuchet MS" w:cs="Calibri"/>
          <w:color w:val="000000"/>
          <w:sz w:val="20"/>
          <w:szCs w:val="20"/>
          <w:lang w:eastAsia="en-US"/>
        </w:rPr>
        <w:t xml:space="preserve"> </w:t>
      </w:r>
      <w:r w:rsidRPr="00BF318E">
        <w:rPr>
          <w:rFonts w:ascii="Trebuchet MS" w:eastAsia="Times New Roman" w:hAnsi="Trebuchet MS" w:cs="Calibri"/>
          <w:color w:val="000000"/>
          <w:sz w:val="20"/>
          <w:szCs w:val="20"/>
          <w:lang w:eastAsia="en-US"/>
        </w:rPr>
        <w:t>n</w:t>
      </w:r>
      <w:r>
        <w:rPr>
          <w:rFonts w:ascii="Trebuchet MS" w:eastAsia="Times New Roman" w:hAnsi="Trebuchet MS" w:cs="Calibri"/>
          <w:color w:val="000000"/>
          <w:sz w:val="20"/>
          <w:szCs w:val="20"/>
          <w:lang w:eastAsia="en-US"/>
        </w:rPr>
        <w:t>o</w:t>
      </w:r>
      <w:r w:rsidRPr="00BF318E">
        <w:rPr>
          <w:rFonts w:ascii="Trebuchet MS" w:eastAsia="Times New Roman" w:hAnsi="Trebuchet MS" w:cs="Calibri"/>
          <w:color w:val="000000"/>
          <w:sz w:val="20"/>
          <w:szCs w:val="20"/>
          <w:lang w:eastAsia="en-US"/>
        </w:rPr>
        <w:t xml:space="preserve">t want to return to pre-Coronavirus operating model. </w:t>
      </w:r>
      <w:r>
        <w:rPr>
          <w:rFonts w:ascii="Trebuchet MS" w:eastAsia="Times New Roman" w:hAnsi="Trebuchet MS" w:cs="Calibri"/>
          <w:color w:val="000000"/>
          <w:sz w:val="20"/>
          <w:szCs w:val="20"/>
          <w:lang w:eastAsia="en-US"/>
        </w:rPr>
        <w:t>Many</w:t>
      </w:r>
      <w:r w:rsidRPr="00BF318E">
        <w:rPr>
          <w:rFonts w:ascii="Trebuchet MS" w:eastAsia="Times New Roman" w:hAnsi="Trebuchet MS" w:cs="Calibri"/>
          <w:color w:val="000000"/>
          <w:sz w:val="20"/>
          <w:szCs w:val="20"/>
          <w:lang w:eastAsia="en-US"/>
        </w:rPr>
        <w:t xml:space="preserve"> improvements have been made as a result of the crisis that should remain operational</w:t>
      </w:r>
      <w:r>
        <w:rPr>
          <w:rFonts w:ascii="Trebuchet MS" w:eastAsia="Times New Roman" w:hAnsi="Trebuchet MS" w:cs="Calibri"/>
          <w:color w:val="000000"/>
          <w:sz w:val="20"/>
          <w:szCs w:val="20"/>
          <w:lang w:eastAsia="en-US"/>
        </w:rPr>
        <w:t>, f</w:t>
      </w:r>
      <w:r w:rsidRPr="00BF318E">
        <w:rPr>
          <w:rFonts w:ascii="Trebuchet MS" w:eastAsia="Times New Roman" w:hAnsi="Trebuchet MS" w:cs="Calibri"/>
          <w:color w:val="000000"/>
          <w:sz w:val="20"/>
          <w:szCs w:val="20"/>
          <w:lang w:eastAsia="en-US"/>
        </w:rPr>
        <w:t xml:space="preserve">or example, BT lifelines into ICU. </w:t>
      </w:r>
    </w:p>
    <w:p w14:paraId="01D0088E" w14:textId="24E4E490" w:rsidR="006038F1" w:rsidRPr="00B44D5D" w:rsidRDefault="006038F1" w:rsidP="00D8347A">
      <w:pPr>
        <w:spacing w:after="0" w:line="240" w:lineRule="auto"/>
        <w:jc w:val="both"/>
        <w:rPr>
          <w:rFonts w:ascii="Trebuchet MS" w:eastAsia="Times New Roman" w:hAnsi="Trebuchet MS" w:cs="Calibri"/>
          <w:b/>
          <w:color w:val="000000"/>
          <w:sz w:val="20"/>
          <w:szCs w:val="20"/>
          <w:lang w:eastAsia="en-US"/>
        </w:rPr>
      </w:pPr>
    </w:p>
    <w:p w14:paraId="1F9E0141" w14:textId="65A4427A" w:rsidR="006038F1" w:rsidRDefault="00B44D5D" w:rsidP="00B44D5D">
      <w:pPr>
        <w:spacing w:after="0" w:line="240" w:lineRule="auto"/>
        <w:jc w:val="both"/>
        <w:rPr>
          <w:rFonts w:ascii="Trebuchet MS" w:hAnsi="Trebuchet MS" w:cstheme="minorHAnsi"/>
          <w:b/>
          <w:sz w:val="20"/>
          <w:szCs w:val="20"/>
        </w:rPr>
      </w:pPr>
      <w:r w:rsidRPr="00B44D5D">
        <w:rPr>
          <w:rFonts w:ascii="Trebuchet MS" w:hAnsi="Trebuchet MS" w:cstheme="minorHAnsi"/>
          <w:b/>
          <w:sz w:val="20"/>
          <w:szCs w:val="20"/>
        </w:rPr>
        <w:t xml:space="preserve">Transparency </w:t>
      </w:r>
    </w:p>
    <w:p w14:paraId="69972273" w14:textId="77777777" w:rsidR="00B44D5D" w:rsidRPr="00B44D5D" w:rsidRDefault="00B44D5D" w:rsidP="00B44D5D">
      <w:pPr>
        <w:spacing w:after="0" w:line="240" w:lineRule="auto"/>
        <w:jc w:val="both"/>
        <w:rPr>
          <w:rFonts w:ascii="Trebuchet MS" w:hAnsi="Trebuchet MS" w:cstheme="minorHAnsi"/>
          <w:b/>
          <w:sz w:val="20"/>
          <w:szCs w:val="20"/>
        </w:rPr>
      </w:pPr>
    </w:p>
    <w:p w14:paraId="0BA2E745" w14:textId="77777777" w:rsidR="006038F1" w:rsidRPr="00B44D5D" w:rsidRDefault="006038F1" w:rsidP="00B44D5D">
      <w:pPr>
        <w:pStyle w:val="ListParagraph"/>
        <w:numPr>
          <w:ilvl w:val="0"/>
          <w:numId w:val="5"/>
        </w:numPr>
        <w:spacing w:after="0" w:line="240" w:lineRule="auto"/>
        <w:jc w:val="both"/>
        <w:rPr>
          <w:rFonts w:ascii="Trebuchet MS" w:hAnsi="Trebuchet MS" w:cstheme="minorHAnsi"/>
          <w:sz w:val="20"/>
          <w:szCs w:val="20"/>
        </w:rPr>
      </w:pPr>
      <w:r w:rsidRPr="00B44D5D">
        <w:rPr>
          <w:rFonts w:ascii="Trebuchet MS" w:hAnsi="Trebuchet MS" w:cstheme="minorHAnsi"/>
          <w:sz w:val="20"/>
          <w:szCs w:val="20"/>
        </w:rPr>
        <w:t xml:space="preserve">Despite good progress in recent years, there is still a shortfall in quality of data in and around public procurement. For instance, according to one analysis of public spending data, around 60 per cent of public contracts are not published in Contracts Finder.  It is often difficult to see precisely who has won a contract and by what mechanism the contract was awarded, or what is required of the supplier delivering the contract.  There is a significant opportunity to conduct much greater analysis of our public contracting, so that we can better understand the impact of the procurement decisions that are being made and deliver much better outcomes for service users and the economy at large. The Government has the ability to drive growth, increase jobs and reduce carbon with the money it spends with suppliers, but it can only do this if it can access good data on what is spent by public bodies. </w:t>
      </w:r>
    </w:p>
    <w:p w14:paraId="7C212BE6" w14:textId="77777777" w:rsidR="006038F1" w:rsidRPr="00BF318E" w:rsidRDefault="006038F1" w:rsidP="00D8347A">
      <w:pPr>
        <w:spacing w:after="0" w:line="240" w:lineRule="auto"/>
        <w:jc w:val="both"/>
        <w:rPr>
          <w:rFonts w:ascii="Trebuchet MS" w:eastAsia="Times New Roman" w:hAnsi="Trebuchet MS" w:cs="Calibri"/>
          <w:color w:val="000000"/>
          <w:sz w:val="20"/>
          <w:szCs w:val="20"/>
          <w:lang w:eastAsia="en-US"/>
        </w:rPr>
      </w:pPr>
    </w:p>
    <w:sectPr w:rsidR="006038F1" w:rsidRPr="00BF318E" w:rsidSect="005817F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76FB" w14:textId="77777777" w:rsidR="001F4385" w:rsidRDefault="001F4385" w:rsidP="005817FC">
      <w:pPr>
        <w:spacing w:after="0" w:line="240" w:lineRule="auto"/>
      </w:pPr>
      <w:r>
        <w:separator/>
      </w:r>
    </w:p>
  </w:endnote>
  <w:endnote w:type="continuationSeparator" w:id="0">
    <w:p w14:paraId="09E68321" w14:textId="77777777" w:rsidR="001F4385" w:rsidRDefault="001F4385" w:rsidP="005817FC">
      <w:pPr>
        <w:spacing w:after="0" w:line="240" w:lineRule="auto"/>
      </w:pPr>
      <w:r>
        <w:continuationSeparator/>
      </w:r>
    </w:p>
  </w:endnote>
  <w:endnote w:type="continuationNotice" w:id="1">
    <w:p w14:paraId="406336C8" w14:textId="77777777" w:rsidR="001F4385" w:rsidRDefault="001F4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0BBE" w14:textId="77777777" w:rsidR="00B322FE" w:rsidRDefault="00B32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D64B" w14:textId="77777777" w:rsidR="005817FC" w:rsidRDefault="005817FC" w:rsidP="005817FC">
    <w:pPr>
      <w:pStyle w:val="Footer"/>
      <w:ind w:right="1234"/>
      <w:jc w:val="center"/>
      <w:rPr>
        <w:color w:val="002060"/>
        <w:sz w:val="16"/>
        <w:szCs w:val="16"/>
      </w:rPr>
    </w:pPr>
    <w:r>
      <w:rPr>
        <w:color w:val="002060"/>
        <w:sz w:val="16"/>
        <w:szCs w:val="16"/>
      </w:rPr>
      <w:t xml:space="preserve">                            </w:t>
    </w:r>
    <w:r w:rsidRPr="001A4409">
      <w:rPr>
        <w:color w:val="002060"/>
        <w:sz w:val="16"/>
        <w:szCs w:val="16"/>
      </w:rPr>
      <w:t xml:space="preserve">W: </w:t>
    </w:r>
    <w:hyperlink r:id="rId1" w:history="1">
      <w:r w:rsidRPr="0064766A">
        <w:rPr>
          <w:rStyle w:val="Hyperlink"/>
          <w:sz w:val="16"/>
          <w:szCs w:val="16"/>
        </w:rPr>
        <w:t>www.bsa-org.com</w:t>
      </w:r>
    </w:hyperlink>
    <w:r>
      <w:rPr>
        <w:color w:val="002060"/>
        <w:sz w:val="16"/>
        <w:szCs w:val="16"/>
      </w:rPr>
      <w:t xml:space="preserve"> E: </w:t>
    </w:r>
    <w:hyperlink r:id="rId2" w:history="1">
      <w:r>
        <w:rPr>
          <w:rStyle w:val="Hyperlink"/>
          <w:sz w:val="16"/>
          <w:szCs w:val="16"/>
        </w:rPr>
        <w:t>bsa@bsa-org.com</w:t>
      </w:r>
    </w:hyperlink>
    <w:r>
      <w:rPr>
        <w:color w:val="002060"/>
        <w:sz w:val="16"/>
        <w:szCs w:val="16"/>
      </w:rPr>
      <w:t xml:space="preserve"> </w:t>
    </w:r>
  </w:p>
  <w:p w14:paraId="614BE0C6" w14:textId="77777777" w:rsidR="005817FC" w:rsidRDefault="005817FC" w:rsidP="005817FC">
    <w:pPr>
      <w:pStyle w:val="Footer"/>
      <w:ind w:right="1234"/>
      <w:jc w:val="center"/>
    </w:pPr>
  </w:p>
  <w:p w14:paraId="36FAF5F4" w14:textId="77777777" w:rsidR="005817FC" w:rsidRPr="00C677A7" w:rsidRDefault="005817FC" w:rsidP="005817FC">
    <w:pPr>
      <w:pStyle w:val="Footer"/>
      <w:jc w:val="center"/>
      <w:rPr>
        <w:color w:val="002060"/>
        <w:sz w:val="16"/>
        <w:szCs w:val="16"/>
      </w:rPr>
    </w:pPr>
    <w:r w:rsidRPr="00C677A7">
      <w:rPr>
        <w:color w:val="002060"/>
        <w:sz w:val="16"/>
        <w:szCs w:val="16"/>
      </w:rPr>
      <w:t>The Business Services Association Limited is registered in England No. 2834529</w:t>
    </w:r>
  </w:p>
  <w:p w14:paraId="54BA6C4E" w14:textId="77777777" w:rsidR="005817FC" w:rsidRPr="00C677A7" w:rsidRDefault="005817FC" w:rsidP="005817FC">
    <w:pPr>
      <w:pStyle w:val="Footer"/>
      <w:jc w:val="center"/>
      <w:rPr>
        <w:color w:val="002060"/>
        <w:sz w:val="16"/>
        <w:szCs w:val="16"/>
      </w:rPr>
    </w:pPr>
    <w:r w:rsidRPr="00C677A7">
      <w:rPr>
        <w:color w:val="002060"/>
        <w:sz w:val="16"/>
        <w:szCs w:val="16"/>
      </w:rPr>
      <w:t>Registered office as above.</w:t>
    </w:r>
  </w:p>
  <w:p w14:paraId="0ED9BDF0" w14:textId="77777777" w:rsidR="005817FC" w:rsidRDefault="005817FC" w:rsidP="005817FC">
    <w:pPr>
      <w:pStyle w:val="Footer"/>
      <w:jc w:val="center"/>
    </w:pPr>
  </w:p>
  <w:p w14:paraId="52584C3F" w14:textId="77777777" w:rsidR="005817FC" w:rsidRDefault="005817FC" w:rsidP="005817FC">
    <w:pPr>
      <w:pStyle w:val="Footer"/>
    </w:pPr>
  </w:p>
  <w:p w14:paraId="2071DF3C" w14:textId="77777777" w:rsidR="005817FC" w:rsidRDefault="005817FC" w:rsidP="005817FC">
    <w:pPr>
      <w:pStyle w:val="Footer"/>
    </w:pPr>
  </w:p>
  <w:p w14:paraId="4B8DCC2D" w14:textId="77777777" w:rsidR="005817FC" w:rsidRDefault="00581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2997" w14:textId="77777777" w:rsidR="005817FC" w:rsidRDefault="005817FC" w:rsidP="005817FC">
    <w:pPr>
      <w:pStyle w:val="Footer"/>
      <w:ind w:right="1234"/>
      <w:jc w:val="center"/>
      <w:rPr>
        <w:color w:val="002060"/>
        <w:sz w:val="16"/>
        <w:szCs w:val="16"/>
      </w:rPr>
    </w:pPr>
    <w:r>
      <w:rPr>
        <w:color w:val="002060"/>
        <w:sz w:val="16"/>
        <w:szCs w:val="16"/>
      </w:rPr>
      <w:t xml:space="preserve">                            </w:t>
    </w:r>
    <w:r w:rsidRPr="001A4409">
      <w:rPr>
        <w:color w:val="002060"/>
        <w:sz w:val="16"/>
        <w:szCs w:val="16"/>
      </w:rPr>
      <w:t xml:space="preserve">W: </w:t>
    </w:r>
    <w:hyperlink r:id="rId1" w:history="1">
      <w:r w:rsidRPr="0064766A">
        <w:rPr>
          <w:rStyle w:val="Hyperlink"/>
          <w:sz w:val="16"/>
          <w:szCs w:val="16"/>
        </w:rPr>
        <w:t>www.bsa-org.com</w:t>
      </w:r>
    </w:hyperlink>
    <w:r>
      <w:rPr>
        <w:color w:val="002060"/>
        <w:sz w:val="16"/>
        <w:szCs w:val="16"/>
      </w:rPr>
      <w:t xml:space="preserve"> E: </w:t>
    </w:r>
    <w:hyperlink r:id="rId2" w:history="1">
      <w:r>
        <w:rPr>
          <w:rStyle w:val="Hyperlink"/>
          <w:sz w:val="16"/>
          <w:szCs w:val="16"/>
        </w:rPr>
        <w:t>bsa@bsa-org.com</w:t>
      </w:r>
    </w:hyperlink>
    <w:r>
      <w:rPr>
        <w:color w:val="002060"/>
        <w:sz w:val="16"/>
        <w:szCs w:val="16"/>
      </w:rPr>
      <w:t xml:space="preserve"> </w:t>
    </w:r>
  </w:p>
  <w:p w14:paraId="1C9A6B3D" w14:textId="77777777" w:rsidR="005817FC" w:rsidRDefault="005817FC" w:rsidP="005817FC">
    <w:pPr>
      <w:pStyle w:val="Footer"/>
      <w:ind w:right="1234"/>
      <w:jc w:val="center"/>
    </w:pPr>
  </w:p>
  <w:p w14:paraId="6B10C46C" w14:textId="77777777" w:rsidR="005817FC" w:rsidRPr="00C677A7" w:rsidRDefault="005817FC" w:rsidP="005817FC">
    <w:pPr>
      <w:pStyle w:val="Footer"/>
      <w:jc w:val="center"/>
      <w:rPr>
        <w:color w:val="002060"/>
        <w:sz w:val="16"/>
        <w:szCs w:val="16"/>
      </w:rPr>
    </w:pPr>
    <w:r w:rsidRPr="00C677A7">
      <w:rPr>
        <w:color w:val="002060"/>
        <w:sz w:val="16"/>
        <w:szCs w:val="16"/>
      </w:rPr>
      <w:t>The Business Services Association Limited is registered in England No. 2834529</w:t>
    </w:r>
  </w:p>
  <w:p w14:paraId="7D4C4516" w14:textId="77777777" w:rsidR="005817FC" w:rsidRPr="005817FC" w:rsidRDefault="005817FC" w:rsidP="005817FC">
    <w:pPr>
      <w:pStyle w:val="Footer"/>
      <w:jc w:val="center"/>
      <w:rPr>
        <w:color w:val="002060"/>
        <w:sz w:val="16"/>
        <w:szCs w:val="16"/>
      </w:rPr>
    </w:pPr>
    <w:r w:rsidRPr="00C677A7">
      <w:rPr>
        <w:color w:val="002060"/>
        <w:sz w:val="16"/>
        <w:szCs w:val="16"/>
      </w:rPr>
      <w:t>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FB89" w14:textId="77777777" w:rsidR="001F4385" w:rsidRDefault="001F4385" w:rsidP="005817FC">
      <w:pPr>
        <w:spacing w:after="0" w:line="240" w:lineRule="auto"/>
      </w:pPr>
      <w:r>
        <w:separator/>
      </w:r>
    </w:p>
  </w:footnote>
  <w:footnote w:type="continuationSeparator" w:id="0">
    <w:p w14:paraId="16994743" w14:textId="77777777" w:rsidR="001F4385" w:rsidRDefault="001F4385" w:rsidP="005817FC">
      <w:pPr>
        <w:spacing w:after="0" w:line="240" w:lineRule="auto"/>
      </w:pPr>
      <w:r>
        <w:continuationSeparator/>
      </w:r>
    </w:p>
  </w:footnote>
  <w:footnote w:type="continuationNotice" w:id="1">
    <w:p w14:paraId="33A806F1" w14:textId="77777777" w:rsidR="001F4385" w:rsidRDefault="001F43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2A24" w14:textId="77777777" w:rsidR="00B322FE" w:rsidRDefault="00B32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514E" w14:textId="77777777" w:rsidR="00B322FE" w:rsidRDefault="00B32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B8F6" w14:textId="6475F42D" w:rsidR="005817FC" w:rsidRPr="00AF3F33" w:rsidRDefault="005817FC" w:rsidP="005817FC">
    <w:pPr>
      <w:rPr>
        <w:highlight w:val="yellow"/>
      </w:rPr>
    </w:pPr>
    <w:r w:rsidRPr="00016056">
      <w:rPr>
        <w:noProof/>
        <w:highlight w:val="yellow"/>
      </w:rPr>
      <w:drawing>
        <wp:anchor distT="0" distB="0" distL="114300" distR="114300" simplePos="0" relativeHeight="251658240" behindDoc="0" locked="0" layoutInCell="1" allowOverlap="1" wp14:anchorId="507F7E65" wp14:editId="4620BEDC">
          <wp:simplePos x="0" y="0"/>
          <wp:positionH relativeFrom="margin">
            <wp:align>center</wp:align>
          </wp:positionH>
          <wp:positionV relativeFrom="page">
            <wp:posOffset>152400</wp:posOffset>
          </wp:positionV>
          <wp:extent cx="1523365" cy="14097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Twitte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65" cy="1409700"/>
                  </a:xfrm>
                  <a:prstGeom prst="rect">
                    <a:avLst/>
                  </a:prstGeom>
                </pic:spPr>
              </pic:pic>
            </a:graphicData>
          </a:graphic>
          <wp14:sizeRelH relativeFrom="margin">
            <wp14:pctWidth>0</wp14:pctWidth>
          </wp14:sizeRelH>
          <wp14:sizeRelV relativeFrom="margin">
            <wp14:pctHeight>0</wp14:pctHeight>
          </wp14:sizeRelV>
        </wp:anchor>
      </w:drawing>
    </w:r>
  </w:p>
  <w:p w14:paraId="7E9261A5" w14:textId="77777777" w:rsidR="005817FC" w:rsidRDefault="005817FC" w:rsidP="005817FC">
    <w:pPr>
      <w:pStyle w:val="Header"/>
      <w:ind w:right="1234"/>
      <w:jc w:val="right"/>
    </w:pPr>
  </w:p>
  <w:p w14:paraId="50B9048E" w14:textId="77777777" w:rsidR="005817FC" w:rsidRDefault="005817FC" w:rsidP="005817FC">
    <w:pPr>
      <w:pStyle w:val="Footer"/>
      <w:ind w:right="1234"/>
      <w:jc w:val="right"/>
      <w:rPr>
        <w:color w:val="002060"/>
      </w:rPr>
    </w:pPr>
  </w:p>
  <w:p w14:paraId="64F0A11D" w14:textId="77777777" w:rsidR="005817FC" w:rsidRDefault="005817FC" w:rsidP="005817FC">
    <w:pPr>
      <w:pStyle w:val="Footer"/>
      <w:ind w:right="1234"/>
      <w:jc w:val="right"/>
      <w:rPr>
        <w:color w:val="002060"/>
      </w:rPr>
    </w:pPr>
  </w:p>
  <w:p w14:paraId="7E61B417" w14:textId="77777777" w:rsidR="005817FC" w:rsidRDefault="005817FC" w:rsidP="005817FC">
    <w:pPr>
      <w:pStyle w:val="Footer"/>
      <w:ind w:right="1234"/>
      <w:jc w:val="right"/>
      <w:rPr>
        <w:color w:val="002060"/>
      </w:rPr>
    </w:pPr>
  </w:p>
  <w:p w14:paraId="0546DF67" w14:textId="77777777" w:rsidR="005817FC" w:rsidRDefault="005817FC" w:rsidP="005817FC">
    <w:pPr>
      <w:pStyle w:val="Footer"/>
      <w:ind w:right="1092"/>
      <w:rPr>
        <w:color w:val="002060"/>
      </w:rPr>
    </w:pPr>
    <w:r>
      <w:rPr>
        <w:color w:val="002060"/>
      </w:rPr>
      <w:t xml:space="preserve">                                                                   </w:t>
    </w:r>
  </w:p>
  <w:p w14:paraId="0AF52E70" w14:textId="77777777" w:rsidR="005817FC" w:rsidRDefault="005817FC" w:rsidP="005817FC">
    <w:pPr>
      <w:pStyle w:val="Footer"/>
      <w:ind w:right="1092"/>
      <w:jc w:val="center"/>
      <w:rPr>
        <w:color w:val="002060"/>
      </w:rPr>
    </w:pPr>
    <w:r>
      <w:rPr>
        <w:color w:val="002060"/>
      </w:rPr>
      <w:t xml:space="preserve">                  Business Services Association</w:t>
    </w:r>
  </w:p>
  <w:p w14:paraId="7B03451E" w14:textId="77777777" w:rsidR="005817FC" w:rsidRDefault="005817FC" w:rsidP="005817FC">
    <w:pPr>
      <w:pStyle w:val="Footer"/>
      <w:ind w:left="1134" w:right="1092"/>
      <w:jc w:val="center"/>
    </w:pPr>
    <w:r w:rsidRPr="00A35ABC">
      <w:rPr>
        <w:color w:val="002060"/>
      </w:rPr>
      <w:t xml:space="preserve">130 Fleet Street, </w:t>
    </w:r>
    <w:r w:rsidRPr="00A35ABC">
      <w:rPr>
        <w:color w:val="002060"/>
      </w:rPr>
      <w:br/>
      <w:t xml:space="preserve">London. </w:t>
    </w:r>
    <w:r w:rsidRPr="00A35ABC">
      <w:rPr>
        <w:color w:val="002060"/>
      </w:rPr>
      <w:br/>
    </w:r>
    <w:r>
      <w:rPr>
        <w:color w:val="002060"/>
      </w:rPr>
      <w:t>EC4A 2BH</w:t>
    </w:r>
  </w:p>
  <w:p w14:paraId="477F8636" w14:textId="77777777" w:rsidR="005817FC" w:rsidRDefault="0058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329"/>
    <w:multiLevelType w:val="hybridMultilevel"/>
    <w:tmpl w:val="7B62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42636"/>
    <w:multiLevelType w:val="hybridMultilevel"/>
    <w:tmpl w:val="457AC79C"/>
    <w:lvl w:ilvl="0" w:tplc="D71AC00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1979"/>
    <w:multiLevelType w:val="multilevel"/>
    <w:tmpl w:val="B47E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B2CBF"/>
    <w:multiLevelType w:val="hybridMultilevel"/>
    <w:tmpl w:val="2D06C15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31F3338"/>
    <w:multiLevelType w:val="hybridMultilevel"/>
    <w:tmpl w:val="51081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E152CF"/>
    <w:multiLevelType w:val="hybridMultilevel"/>
    <w:tmpl w:val="11BE2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21FE3"/>
    <w:multiLevelType w:val="multilevel"/>
    <w:tmpl w:val="EAD6AD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66D0206"/>
    <w:multiLevelType w:val="hybridMultilevel"/>
    <w:tmpl w:val="C308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8623C"/>
    <w:multiLevelType w:val="hybridMultilevel"/>
    <w:tmpl w:val="A964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B0DC0"/>
    <w:multiLevelType w:val="hybridMultilevel"/>
    <w:tmpl w:val="70644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A645A"/>
    <w:multiLevelType w:val="hybridMultilevel"/>
    <w:tmpl w:val="2392F4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B141B7"/>
    <w:multiLevelType w:val="hybridMultilevel"/>
    <w:tmpl w:val="7AA6C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C38F3"/>
    <w:multiLevelType w:val="hybridMultilevel"/>
    <w:tmpl w:val="AFD06990"/>
    <w:lvl w:ilvl="0" w:tplc="D71AC002">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A26D2B"/>
    <w:multiLevelType w:val="hybridMultilevel"/>
    <w:tmpl w:val="AE84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0E23F3"/>
    <w:multiLevelType w:val="multilevel"/>
    <w:tmpl w:val="D2B85EC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DB5954"/>
    <w:multiLevelType w:val="hybridMultilevel"/>
    <w:tmpl w:val="8AC8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01064"/>
    <w:multiLevelType w:val="hybridMultilevel"/>
    <w:tmpl w:val="DFBCB89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1C4F0F"/>
    <w:multiLevelType w:val="multilevel"/>
    <w:tmpl w:val="7D024072"/>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5F59CA"/>
    <w:multiLevelType w:val="multilevel"/>
    <w:tmpl w:val="A10A7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E6C1AA3"/>
    <w:multiLevelType w:val="multilevel"/>
    <w:tmpl w:val="0F0695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2FED4CF8"/>
    <w:multiLevelType w:val="multilevel"/>
    <w:tmpl w:val="D628736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D47CBB"/>
    <w:multiLevelType w:val="multilevel"/>
    <w:tmpl w:val="D164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233786"/>
    <w:multiLevelType w:val="hybridMultilevel"/>
    <w:tmpl w:val="7D8AA5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3B15CAB"/>
    <w:multiLevelType w:val="multilevel"/>
    <w:tmpl w:val="B89AA5C8"/>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D87A5A"/>
    <w:multiLevelType w:val="multilevel"/>
    <w:tmpl w:val="49141BE4"/>
    <w:lvl w:ilvl="0">
      <w:start w:val="7"/>
      <w:numFmt w:val="bullet"/>
      <w:lvlText w:val="-"/>
      <w:lvlJc w:val="left"/>
      <w:pPr>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FF5329"/>
    <w:multiLevelType w:val="hybridMultilevel"/>
    <w:tmpl w:val="3CE45940"/>
    <w:lvl w:ilvl="0" w:tplc="08090001">
      <w:start w:val="1"/>
      <w:numFmt w:val="bullet"/>
      <w:lvlText w:val=""/>
      <w:lvlJc w:val="left"/>
      <w:pPr>
        <w:ind w:left="360" w:hanging="360"/>
      </w:pPr>
      <w:rPr>
        <w:rFonts w:ascii="Symbol" w:hAnsi="Symbol" w:cs="Symbol" w:hint="default"/>
      </w:rPr>
    </w:lvl>
    <w:lvl w:ilvl="1" w:tplc="6910E37C">
      <w:numFmt w:val="bullet"/>
      <w:lvlText w:val="•"/>
      <w:lvlJc w:val="left"/>
      <w:pPr>
        <w:ind w:left="1440" w:hanging="720"/>
      </w:pPr>
      <w:rPr>
        <w:rFonts w:ascii="Trebuchet MS" w:eastAsia="Times New Roman" w:hAnsi="Trebuchet MS" w:cs="Calibri"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2404D84"/>
    <w:multiLevelType w:val="hybridMultilevel"/>
    <w:tmpl w:val="EFD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437DB"/>
    <w:multiLevelType w:val="hybridMultilevel"/>
    <w:tmpl w:val="367ED5B8"/>
    <w:lvl w:ilvl="0" w:tplc="D71AC002">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6F726D9"/>
    <w:multiLevelType w:val="multilevel"/>
    <w:tmpl w:val="08C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423D09"/>
    <w:multiLevelType w:val="hybridMultilevel"/>
    <w:tmpl w:val="5D60C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CA1659"/>
    <w:multiLevelType w:val="hybridMultilevel"/>
    <w:tmpl w:val="F61C2C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F511B85"/>
    <w:multiLevelType w:val="hybridMultilevel"/>
    <w:tmpl w:val="65C4A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A07312"/>
    <w:multiLevelType w:val="hybridMultilevel"/>
    <w:tmpl w:val="AFE0A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EB67A0"/>
    <w:multiLevelType w:val="hybridMultilevel"/>
    <w:tmpl w:val="8A0425E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25"/>
  </w:num>
  <w:num w:numId="4">
    <w:abstractNumId w:val="30"/>
  </w:num>
  <w:num w:numId="5">
    <w:abstractNumId w:val="3"/>
  </w:num>
  <w:num w:numId="6">
    <w:abstractNumId w:val="0"/>
  </w:num>
  <w:num w:numId="7">
    <w:abstractNumId w:val="5"/>
  </w:num>
  <w:num w:numId="8">
    <w:abstractNumId w:val="12"/>
  </w:num>
  <w:num w:numId="9">
    <w:abstractNumId w:val="4"/>
  </w:num>
  <w:num w:numId="10">
    <w:abstractNumId w:val="28"/>
  </w:num>
  <w:num w:numId="11">
    <w:abstractNumId w:val="10"/>
  </w:num>
  <w:num w:numId="12">
    <w:abstractNumId w:val="9"/>
  </w:num>
  <w:num w:numId="13">
    <w:abstractNumId w:val="6"/>
  </w:num>
  <w:num w:numId="14">
    <w:abstractNumId w:val="20"/>
  </w:num>
  <w:num w:numId="15">
    <w:abstractNumId w:val="19"/>
  </w:num>
  <w:num w:numId="16">
    <w:abstractNumId w:val="2"/>
  </w:num>
  <w:num w:numId="17">
    <w:abstractNumId w:val="21"/>
  </w:num>
  <w:num w:numId="18">
    <w:abstractNumId w:val="18"/>
  </w:num>
  <w:num w:numId="19">
    <w:abstractNumId w:val="13"/>
  </w:num>
  <w:num w:numId="20">
    <w:abstractNumId w:val="31"/>
  </w:num>
  <w:num w:numId="21">
    <w:abstractNumId w:val="32"/>
  </w:num>
  <w:num w:numId="22">
    <w:abstractNumId w:val="8"/>
  </w:num>
  <w:num w:numId="23">
    <w:abstractNumId w:val="15"/>
  </w:num>
  <w:num w:numId="24">
    <w:abstractNumId w:val="1"/>
  </w:num>
  <w:num w:numId="25">
    <w:abstractNumId w:val="24"/>
  </w:num>
  <w:num w:numId="26">
    <w:abstractNumId w:val="27"/>
  </w:num>
  <w:num w:numId="27">
    <w:abstractNumId w:val="23"/>
  </w:num>
  <w:num w:numId="28">
    <w:abstractNumId w:val="17"/>
  </w:num>
  <w:num w:numId="29">
    <w:abstractNumId w:val="14"/>
  </w:num>
  <w:num w:numId="30">
    <w:abstractNumId w:val="33"/>
  </w:num>
  <w:num w:numId="31">
    <w:abstractNumId w:val="16"/>
  </w:num>
  <w:num w:numId="32">
    <w:abstractNumId w:val="7"/>
  </w:num>
  <w:num w:numId="33">
    <w:abstractNumId w:val="26"/>
  </w:num>
  <w:num w:numId="3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FC"/>
    <w:rsid w:val="00003344"/>
    <w:rsid w:val="000137F3"/>
    <w:rsid w:val="00014C7B"/>
    <w:rsid w:val="00016056"/>
    <w:rsid w:val="000250F4"/>
    <w:rsid w:val="000319D6"/>
    <w:rsid w:val="000334BB"/>
    <w:rsid w:val="00046E4A"/>
    <w:rsid w:val="00055023"/>
    <w:rsid w:val="000851FE"/>
    <w:rsid w:val="000918FE"/>
    <w:rsid w:val="0009430F"/>
    <w:rsid w:val="000A253E"/>
    <w:rsid w:val="000A308C"/>
    <w:rsid w:val="000B64D5"/>
    <w:rsid w:val="000C1802"/>
    <w:rsid w:val="000C3CBA"/>
    <w:rsid w:val="000C5F18"/>
    <w:rsid w:val="000C69A2"/>
    <w:rsid w:val="000C6CAA"/>
    <w:rsid w:val="000C7815"/>
    <w:rsid w:val="000D4515"/>
    <w:rsid w:val="000D675D"/>
    <w:rsid w:val="000D77B9"/>
    <w:rsid w:val="000E1B59"/>
    <w:rsid w:val="000E426F"/>
    <w:rsid w:val="000E5348"/>
    <w:rsid w:val="000F18F1"/>
    <w:rsid w:val="000F23E4"/>
    <w:rsid w:val="000F6382"/>
    <w:rsid w:val="00103979"/>
    <w:rsid w:val="0010625D"/>
    <w:rsid w:val="00110D51"/>
    <w:rsid w:val="0011194B"/>
    <w:rsid w:val="0013086D"/>
    <w:rsid w:val="00130BBF"/>
    <w:rsid w:val="0013273B"/>
    <w:rsid w:val="001614E9"/>
    <w:rsid w:val="00161C09"/>
    <w:rsid w:val="001659D1"/>
    <w:rsid w:val="00165D4F"/>
    <w:rsid w:val="001732CC"/>
    <w:rsid w:val="00173745"/>
    <w:rsid w:val="00173A86"/>
    <w:rsid w:val="001743E4"/>
    <w:rsid w:val="00177F5C"/>
    <w:rsid w:val="0018665F"/>
    <w:rsid w:val="0018689C"/>
    <w:rsid w:val="001906E7"/>
    <w:rsid w:val="00190C6D"/>
    <w:rsid w:val="0019173B"/>
    <w:rsid w:val="0019296B"/>
    <w:rsid w:val="00194042"/>
    <w:rsid w:val="001957BF"/>
    <w:rsid w:val="001A2A49"/>
    <w:rsid w:val="001A3A26"/>
    <w:rsid w:val="001B2911"/>
    <w:rsid w:val="001B3538"/>
    <w:rsid w:val="001B7E54"/>
    <w:rsid w:val="001C4F94"/>
    <w:rsid w:val="001C5D79"/>
    <w:rsid w:val="001C5E04"/>
    <w:rsid w:val="001D574B"/>
    <w:rsid w:val="001E464F"/>
    <w:rsid w:val="001E551D"/>
    <w:rsid w:val="001F08E7"/>
    <w:rsid w:val="001F4385"/>
    <w:rsid w:val="00203542"/>
    <w:rsid w:val="00211871"/>
    <w:rsid w:val="00220ACD"/>
    <w:rsid w:val="002220D1"/>
    <w:rsid w:val="00222505"/>
    <w:rsid w:val="00227231"/>
    <w:rsid w:val="0023223E"/>
    <w:rsid w:val="002347CF"/>
    <w:rsid w:val="00234E52"/>
    <w:rsid w:val="002371B0"/>
    <w:rsid w:val="0024694C"/>
    <w:rsid w:val="002475AF"/>
    <w:rsid w:val="00250DF3"/>
    <w:rsid w:val="0026160A"/>
    <w:rsid w:val="00263F82"/>
    <w:rsid w:val="00270EB3"/>
    <w:rsid w:val="002762B3"/>
    <w:rsid w:val="002831AA"/>
    <w:rsid w:val="00283864"/>
    <w:rsid w:val="002848B0"/>
    <w:rsid w:val="00285120"/>
    <w:rsid w:val="002909C8"/>
    <w:rsid w:val="0029142E"/>
    <w:rsid w:val="002B2A21"/>
    <w:rsid w:val="002B6739"/>
    <w:rsid w:val="002C27BB"/>
    <w:rsid w:val="002D2779"/>
    <w:rsid w:val="002F28F9"/>
    <w:rsid w:val="002F5DFE"/>
    <w:rsid w:val="00305BB6"/>
    <w:rsid w:val="00313A50"/>
    <w:rsid w:val="003150E4"/>
    <w:rsid w:val="00321302"/>
    <w:rsid w:val="003261DB"/>
    <w:rsid w:val="00330571"/>
    <w:rsid w:val="003331F4"/>
    <w:rsid w:val="003414F5"/>
    <w:rsid w:val="00343835"/>
    <w:rsid w:val="00352FA5"/>
    <w:rsid w:val="003630E1"/>
    <w:rsid w:val="00375547"/>
    <w:rsid w:val="00393460"/>
    <w:rsid w:val="003951B0"/>
    <w:rsid w:val="003A135A"/>
    <w:rsid w:val="003C0DD3"/>
    <w:rsid w:val="003C2E7A"/>
    <w:rsid w:val="003C3B94"/>
    <w:rsid w:val="003C5C63"/>
    <w:rsid w:val="003E043A"/>
    <w:rsid w:val="003F2948"/>
    <w:rsid w:val="003F3757"/>
    <w:rsid w:val="003F7082"/>
    <w:rsid w:val="00401378"/>
    <w:rsid w:val="004029BB"/>
    <w:rsid w:val="00403A39"/>
    <w:rsid w:val="00404076"/>
    <w:rsid w:val="0041508F"/>
    <w:rsid w:val="00431323"/>
    <w:rsid w:val="00436E45"/>
    <w:rsid w:val="004416A1"/>
    <w:rsid w:val="00442B28"/>
    <w:rsid w:val="004430F6"/>
    <w:rsid w:val="00454DD8"/>
    <w:rsid w:val="0045794D"/>
    <w:rsid w:val="00460E00"/>
    <w:rsid w:val="004754B9"/>
    <w:rsid w:val="004879DA"/>
    <w:rsid w:val="004B2A45"/>
    <w:rsid w:val="004B4A54"/>
    <w:rsid w:val="004C4685"/>
    <w:rsid w:val="004D18F9"/>
    <w:rsid w:val="004D652B"/>
    <w:rsid w:val="004D7B27"/>
    <w:rsid w:val="004E240C"/>
    <w:rsid w:val="004F774D"/>
    <w:rsid w:val="00502701"/>
    <w:rsid w:val="00503EE6"/>
    <w:rsid w:val="00520B42"/>
    <w:rsid w:val="00531CB0"/>
    <w:rsid w:val="0053281A"/>
    <w:rsid w:val="00532FA3"/>
    <w:rsid w:val="00541B5D"/>
    <w:rsid w:val="00541F75"/>
    <w:rsid w:val="00545BB1"/>
    <w:rsid w:val="00554ADC"/>
    <w:rsid w:val="0056124E"/>
    <w:rsid w:val="0057129B"/>
    <w:rsid w:val="00571B93"/>
    <w:rsid w:val="00573741"/>
    <w:rsid w:val="005754BF"/>
    <w:rsid w:val="00576EF0"/>
    <w:rsid w:val="00580C02"/>
    <w:rsid w:val="005817FC"/>
    <w:rsid w:val="00583606"/>
    <w:rsid w:val="005840BD"/>
    <w:rsid w:val="00586F80"/>
    <w:rsid w:val="005967AC"/>
    <w:rsid w:val="005A0EEE"/>
    <w:rsid w:val="005A1594"/>
    <w:rsid w:val="005A1B34"/>
    <w:rsid w:val="005A7291"/>
    <w:rsid w:val="005B32A5"/>
    <w:rsid w:val="005C27F1"/>
    <w:rsid w:val="005C32D0"/>
    <w:rsid w:val="005C4EB8"/>
    <w:rsid w:val="005E3AB6"/>
    <w:rsid w:val="005E4E4F"/>
    <w:rsid w:val="005F1806"/>
    <w:rsid w:val="005F20AF"/>
    <w:rsid w:val="005F3846"/>
    <w:rsid w:val="006038F1"/>
    <w:rsid w:val="0061269A"/>
    <w:rsid w:val="00614583"/>
    <w:rsid w:val="006145F9"/>
    <w:rsid w:val="00614DA0"/>
    <w:rsid w:val="00620400"/>
    <w:rsid w:val="006227D1"/>
    <w:rsid w:val="00622BEC"/>
    <w:rsid w:val="00624CD9"/>
    <w:rsid w:val="0062649B"/>
    <w:rsid w:val="00635621"/>
    <w:rsid w:val="00636017"/>
    <w:rsid w:val="00642619"/>
    <w:rsid w:val="006453BE"/>
    <w:rsid w:val="00660470"/>
    <w:rsid w:val="00694D82"/>
    <w:rsid w:val="006A3606"/>
    <w:rsid w:val="006B0395"/>
    <w:rsid w:val="006B5A53"/>
    <w:rsid w:val="006B5E69"/>
    <w:rsid w:val="006C4B2C"/>
    <w:rsid w:val="006C724F"/>
    <w:rsid w:val="006C73C8"/>
    <w:rsid w:val="006D61E3"/>
    <w:rsid w:val="006E25C4"/>
    <w:rsid w:val="006E32AB"/>
    <w:rsid w:val="006E7C40"/>
    <w:rsid w:val="00701504"/>
    <w:rsid w:val="00712FA0"/>
    <w:rsid w:val="0072058A"/>
    <w:rsid w:val="00726CB4"/>
    <w:rsid w:val="00727A87"/>
    <w:rsid w:val="007424A0"/>
    <w:rsid w:val="00745F4D"/>
    <w:rsid w:val="0074617A"/>
    <w:rsid w:val="007477D2"/>
    <w:rsid w:val="00750EC7"/>
    <w:rsid w:val="007513BC"/>
    <w:rsid w:val="00755576"/>
    <w:rsid w:val="00763DD6"/>
    <w:rsid w:val="00764F71"/>
    <w:rsid w:val="0077134A"/>
    <w:rsid w:val="00773B60"/>
    <w:rsid w:val="00773CF0"/>
    <w:rsid w:val="00776E49"/>
    <w:rsid w:val="0078537B"/>
    <w:rsid w:val="00785D20"/>
    <w:rsid w:val="00787124"/>
    <w:rsid w:val="007904AA"/>
    <w:rsid w:val="00793E7E"/>
    <w:rsid w:val="007A39A9"/>
    <w:rsid w:val="007A517C"/>
    <w:rsid w:val="007B37E9"/>
    <w:rsid w:val="007C30E3"/>
    <w:rsid w:val="007C5F66"/>
    <w:rsid w:val="007D009A"/>
    <w:rsid w:val="007D455A"/>
    <w:rsid w:val="007D45AA"/>
    <w:rsid w:val="007E0CF3"/>
    <w:rsid w:val="007E2B20"/>
    <w:rsid w:val="007F3E91"/>
    <w:rsid w:val="00806380"/>
    <w:rsid w:val="0082477A"/>
    <w:rsid w:val="00824CC8"/>
    <w:rsid w:val="008317A4"/>
    <w:rsid w:val="0083650A"/>
    <w:rsid w:val="00841558"/>
    <w:rsid w:val="008446DE"/>
    <w:rsid w:val="00845255"/>
    <w:rsid w:val="00846444"/>
    <w:rsid w:val="00851C4D"/>
    <w:rsid w:val="008643AC"/>
    <w:rsid w:val="00865BBF"/>
    <w:rsid w:val="00865D7D"/>
    <w:rsid w:val="00877F76"/>
    <w:rsid w:val="00882482"/>
    <w:rsid w:val="00883309"/>
    <w:rsid w:val="00884961"/>
    <w:rsid w:val="0089093C"/>
    <w:rsid w:val="00890EEF"/>
    <w:rsid w:val="00893B0D"/>
    <w:rsid w:val="008A4490"/>
    <w:rsid w:val="008A6DBC"/>
    <w:rsid w:val="008B2369"/>
    <w:rsid w:val="008C1699"/>
    <w:rsid w:val="008C21C5"/>
    <w:rsid w:val="008D016D"/>
    <w:rsid w:val="008E26FB"/>
    <w:rsid w:val="008F19C5"/>
    <w:rsid w:val="008F21D6"/>
    <w:rsid w:val="008F553B"/>
    <w:rsid w:val="008F7D00"/>
    <w:rsid w:val="00902EE1"/>
    <w:rsid w:val="00913737"/>
    <w:rsid w:val="00920DCF"/>
    <w:rsid w:val="00927F53"/>
    <w:rsid w:val="0093059A"/>
    <w:rsid w:val="009547F4"/>
    <w:rsid w:val="009917B4"/>
    <w:rsid w:val="009929FD"/>
    <w:rsid w:val="00992DF5"/>
    <w:rsid w:val="009949E3"/>
    <w:rsid w:val="009A4BD2"/>
    <w:rsid w:val="009B22E7"/>
    <w:rsid w:val="009B592F"/>
    <w:rsid w:val="009B7036"/>
    <w:rsid w:val="009B7F4D"/>
    <w:rsid w:val="009C23DE"/>
    <w:rsid w:val="009C383E"/>
    <w:rsid w:val="009D7757"/>
    <w:rsid w:val="009F74CD"/>
    <w:rsid w:val="00A03865"/>
    <w:rsid w:val="00A138A5"/>
    <w:rsid w:val="00A17FEB"/>
    <w:rsid w:val="00A42147"/>
    <w:rsid w:val="00A5573C"/>
    <w:rsid w:val="00A7387A"/>
    <w:rsid w:val="00A7576F"/>
    <w:rsid w:val="00A861F9"/>
    <w:rsid w:val="00A86440"/>
    <w:rsid w:val="00A94CC1"/>
    <w:rsid w:val="00AA029A"/>
    <w:rsid w:val="00AC4056"/>
    <w:rsid w:val="00AC5293"/>
    <w:rsid w:val="00AC71E4"/>
    <w:rsid w:val="00AC73E3"/>
    <w:rsid w:val="00AD33DF"/>
    <w:rsid w:val="00AD6CCB"/>
    <w:rsid w:val="00AD77E2"/>
    <w:rsid w:val="00AF3F33"/>
    <w:rsid w:val="00B03F0D"/>
    <w:rsid w:val="00B053E1"/>
    <w:rsid w:val="00B07FF7"/>
    <w:rsid w:val="00B11776"/>
    <w:rsid w:val="00B322FE"/>
    <w:rsid w:val="00B44547"/>
    <w:rsid w:val="00B44D5D"/>
    <w:rsid w:val="00B53C2E"/>
    <w:rsid w:val="00B660A3"/>
    <w:rsid w:val="00B67FCA"/>
    <w:rsid w:val="00B72341"/>
    <w:rsid w:val="00B76CB3"/>
    <w:rsid w:val="00B81B09"/>
    <w:rsid w:val="00B81D80"/>
    <w:rsid w:val="00B82654"/>
    <w:rsid w:val="00B9493A"/>
    <w:rsid w:val="00B95437"/>
    <w:rsid w:val="00BA111E"/>
    <w:rsid w:val="00BA55FA"/>
    <w:rsid w:val="00BA749E"/>
    <w:rsid w:val="00BB172F"/>
    <w:rsid w:val="00BB5530"/>
    <w:rsid w:val="00BC1AE2"/>
    <w:rsid w:val="00BC2EAA"/>
    <w:rsid w:val="00BC511E"/>
    <w:rsid w:val="00BD4D65"/>
    <w:rsid w:val="00BD7351"/>
    <w:rsid w:val="00BE2C74"/>
    <w:rsid w:val="00BE4CC7"/>
    <w:rsid w:val="00BE4D8C"/>
    <w:rsid w:val="00BF318E"/>
    <w:rsid w:val="00BF668B"/>
    <w:rsid w:val="00C05DAA"/>
    <w:rsid w:val="00C1010B"/>
    <w:rsid w:val="00C12059"/>
    <w:rsid w:val="00C12B46"/>
    <w:rsid w:val="00C139A4"/>
    <w:rsid w:val="00C20404"/>
    <w:rsid w:val="00C21D46"/>
    <w:rsid w:val="00C225C8"/>
    <w:rsid w:val="00C342B3"/>
    <w:rsid w:val="00C40E67"/>
    <w:rsid w:val="00C43EDF"/>
    <w:rsid w:val="00C572D7"/>
    <w:rsid w:val="00C61BEC"/>
    <w:rsid w:val="00C61CAB"/>
    <w:rsid w:val="00C639AB"/>
    <w:rsid w:val="00C66F74"/>
    <w:rsid w:val="00C70685"/>
    <w:rsid w:val="00C748AD"/>
    <w:rsid w:val="00C80A05"/>
    <w:rsid w:val="00C86B1C"/>
    <w:rsid w:val="00C90003"/>
    <w:rsid w:val="00CA4A4B"/>
    <w:rsid w:val="00CB0548"/>
    <w:rsid w:val="00CB18EA"/>
    <w:rsid w:val="00CB2376"/>
    <w:rsid w:val="00CC0177"/>
    <w:rsid w:val="00CC1393"/>
    <w:rsid w:val="00CC4D7C"/>
    <w:rsid w:val="00CC7447"/>
    <w:rsid w:val="00CD568A"/>
    <w:rsid w:val="00CD5EE3"/>
    <w:rsid w:val="00CD61E5"/>
    <w:rsid w:val="00CE296A"/>
    <w:rsid w:val="00CE6DBD"/>
    <w:rsid w:val="00CF5CEE"/>
    <w:rsid w:val="00D023D0"/>
    <w:rsid w:val="00D03F3D"/>
    <w:rsid w:val="00D127EA"/>
    <w:rsid w:val="00D137A5"/>
    <w:rsid w:val="00D20C72"/>
    <w:rsid w:val="00D52E88"/>
    <w:rsid w:val="00D62113"/>
    <w:rsid w:val="00D8347A"/>
    <w:rsid w:val="00D83896"/>
    <w:rsid w:val="00D8527E"/>
    <w:rsid w:val="00D86D9E"/>
    <w:rsid w:val="00D918C3"/>
    <w:rsid w:val="00DA35BF"/>
    <w:rsid w:val="00DA43E1"/>
    <w:rsid w:val="00DC5A9E"/>
    <w:rsid w:val="00DC63EE"/>
    <w:rsid w:val="00DD49AD"/>
    <w:rsid w:val="00DE7A37"/>
    <w:rsid w:val="00DF3BC0"/>
    <w:rsid w:val="00DF69C1"/>
    <w:rsid w:val="00E003FD"/>
    <w:rsid w:val="00E01570"/>
    <w:rsid w:val="00E139E5"/>
    <w:rsid w:val="00E17CED"/>
    <w:rsid w:val="00E23FB2"/>
    <w:rsid w:val="00E256E4"/>
    <w:rsid w:val="00E34C12"/>
    <w:rsid w:val="00E40796"/>
    <w:rsid w:val="00E45EE3"/>
    <w:rsid w:val="00E4665D"/>
    <w:rsid w:val="00E52A6D"/>
    <w:rsid w:val="00E54D0F"/>
    <w:rsid w:val="00E54D79"/>
    <w:rsid w:val="00E56951"/>
    <w:rsid w:val="00E704A1"/>
    <w:rsid w:val="00E72469"/>
    <w:rsid w:val="00E8073A"/>
    <w:rsid w:val="00EA3B8F"/>
    <w:rsid w:val="00EB27DD"/>
    <w:rsid w:val="00EB4AB6"/>
    <w:rsid w:val="00EB6160"/>
    <w:rsid w:val="00EB7CC3"/>
    <w:rsid w:val="00EC1012"/>
    <w:rsid w:val="00ED05FD"/>
    <w:rsid w:val="00ED2323"/>
    <w:rsid w:val="00ED6D7D"/>
    <w:rsid w:val="00EE1281"/>
    <w:rsid w:val="00EE6425"/>
    <w:rsid w:val="00EE745D"/>
    <w:rsid w:val="00F07A2A"/>
    <w:rsid w:val="00F1191C"/>
    <w:rsid w:val="00F11B2D"/>
    <w:rsid w:val="00F13D83"/>
    <w:rsid w:val="00F21EB9"/>
    <w:rsid w:val="00F263D0"/>
    <w:rsid w:val="00F31F2D"/>
    <w:rsid w:val="00F34F0B"/>
    <w:rsid w:val="00F36363"/>
    <w:rsid w:val="00F50434"/>
    <w:rsid w:val="00F56C21"/>
    <w:rsid w:val="00F61734"/>
    <w:rsid w:val="00F61BB2"/>
    <w:rsid w:val="00F701DB"/>
    <w:rsid w:val="00F81F46"/>
    <w:rsid w:val="00F85DEC"/>
    <w:rsid w:val="00F86DEF"/>
    <w:rsid w:val="00F87CEF"/>
    <w:rsid w:val="00F9493D"/>
    <w:rsid w:val="00FA27A2"/>
    <w:rsid w:val="00FA3261"/>
    <w:rsid w:val="00FA6770"/>
    <w:rsid w:val="00FB493A"/>
    <w:rsid w:val="00FC14AA"/>
    <w:rsid w:val="00FC5BB7"/>
    <w:rsid w:val="00FD11A4"/>
    <w:rsid w:val="00FD2836"/>
    <w:rsid w:val="00FE6A19"/>
    <w:rsid w:val="00FF39B5"/>
    <w:rsid w:val="00FF4E71"/>
    <w:rsid w:val="1D33B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7DCFF3"/>
  <w15:chartTrackingRefBased/>
  <w15:docId w15:val="{A4EB1A11-7B49-B243-B252-7AD8F93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lang w:val="en-GB"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B27"/>
    <w:pPr>
      <w:spacing w:after="200" w:line="276" w:lineRule="auto"/>
      <w:jc w:val="left"/>
    </w:pPr>
    <w:rPr>
      <w:rFonts w:asciiTheme="minorHAnsi" w:eastAsiaTheme="minorEastAsia" w:hAnsiTheme="minorHAns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FC"/>
    <w:rPr>
      <w:rFonts w:ascii="Segoe UI" w:hAnsi="Segoe UI" w:cs="Segoe UI"/>
      <w:sz w:val="18"/>
      <w:szCs w:val="18"/>
    </w:rPr>
  </w:style>
  <w:style w:type="paragraph" w:styleId="Header">
    <w:name w:val="header"/>
    <w:basedOn w:val="Normal"/>
    <w:link w:val="HeaderChar"/>
    <w:uiPriority w:val="99"/>
    <w:unhideWhenUsed/>
    <w:rsid w:val="00581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7FC"/>
  </w:style>
  <w:style w:type="paragraph" w:styleId="Footer">
    <w:name w:val="footer"/>
    <w:basedOn w:val="Normal"/>
    <w:link w:val="FooterChar"/>
    <w:uiPriority w:val="99"/>
    <w:unhideWhenUsed/>
    <w:rsid w:val="00581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7FC"/>
  </w:style>
  <w:style w:type="character" w:styleId="Hyperlink">
    <w:name w:val="Hyperlink"/>
    <w:basedOn w:val="DefaultParagraphFont"/>
    <w:uiPriority w:val="99"/>
    <w:unhideWhenUsed/>
    <w:rsid w:val="005817FC"/>
    <w:rPr>
      <w:color w:val="0563C1" w:themeColor="hyperlink"/>
      <w:u w:val="single"/>
    </w:rPr>
  </w:style>
  <w:style w:type="paragraph" w:styleId="ListParagraph">
    <w:name w:val="List Paragraph"/>
    <w:basedOn w:val="Normal"/>
    <w:link w:val="ListParagraphChar"/>
    <w:uiPriority w:val="34"/>
    <w:qFormat/>
    <w:rsid w:val="00531CB0"/>
    <w:pPr>
      <w:ind w:left="720"/>
      <w:contextualSpacing/>
    </w:pPr>
  </w:style>
  <w:style w:type="character" w:customStyle="1" w:styleId="ListParagraphChar">
    <w:name w:val="List Paragraph Char"/>
    <w:link w:val="ListParagraph"/>
    <w:uiPriority w:val="34"/>
    <w:locked/>
    <w:rsid w:val="00531CB0"/>
    <w:rPr>
      <w:rFonts w:asciiTheme="minorHAnsi" w:eastAsiaTheme="minorEastAsia" w:hAnsiTheme="minorHAnsi"/>
      <w:sz w:val="22"/>
      <w:szCs w:val="22"/>
      <w:lang w:eastAsia="en-GB"/>
    </w:rPr>
  </w:style>
  <w:style w:type="paragraph" w:styleId="FootnoteText">
    <w:name w:val="footnote text"/>
    <w:basedOn w:val="Normal"/>
    <w:link w:val="FootnoteTextChar"/>
    <w:uiPriority w:val="99"/>
    <w:semiHidden/>
    <w:unhideWhenUsed/>
    <w:rsid w:val="00247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5AF"/>
    <w:rPr>
      <w:rFonts w:asciiTheme="minorHAnsi" w:eastAsiaTheme="minorEastAsia" w:hAnsiTheme="minorHAnsi"/>
      <w:lang w:eastAsia="en-GB"/>
    </w:rPr>
  </w:style>
  <w:style w:type="character" w:styleId="FootnoteReference">
    <w:name w:val="footnote reference"/>
    <w:basedOn w:val="DefaultParagraphFont"/>
    <w:uiPriority w:val="99"/>
    <w:semiHidden/>
    <w:unhideWhenUsed/>
    <w:rsid w:val="002475AF"/>
    <w:rPr>
      <w:vertAlign w:val="superscript"/>
    </w:rPr>
  </w:style>
  <w:style w:type="character" w:customStyle="1" w:styleId="apple-converted-space">
    <w:name w:val="apple-converted-space"/>
    <w:basedOn w:val="DefaultParagraphFont"/>
    <w:rsid w:val="004B2A45"/>
  </w:style>
  <w:style w:type="paragraph" w:customStyle="1" w:styleId="paragraph">
    <w:name w:val="paragraph"/>
    <w:basedOn w:val="Normal"/>
    <w:rsid w:val="0020354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851C4D"/>
    <w:pPr>
      <w:autoSpaceDE w:val="0"/>
      <w:autoSpaceDN w:val="0"/>
      <w:adjustRightInd w:val="0"/>
      <w:spacing w:after="0" w:line="240" w:lineRule="auto"/>
      <w:jc w:val="left"/>
    </w:pPr>
    <w:rPr>
      <w:rFont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534">
      <w:bodyDiv w:val="1"/>
      <w:marLeft w:val="0"/>
      <w:marRight w:val="0"/>
      <w:marTop w:val="0"/>
      <w:marBottom w:val="0"/>
      <w:divBdr>
        <w:top w:val="none" w:sz="0" w:space="0" w:color="auto"/>
        <w:left w:val="none" w:sz="0" w:space="0" w:color="auto"/>
        <w:bottom w:val="none" w:sz="0" w:space="0" w:color="auto"/>
        <w:right w:val="none" w:sz="0" w:space="0" w:color="auto"/>
      </w:divBdr>
    </w:div>
    <w:div w:id="14045908">
      <w:bodyDiv w:val="1"/>
      <w:marLeft w:val="0"/>
      <w:marRight w:val="0"/>
      <w:marTop w:val="0"/>
      <w:marBottom w:val="0"/>
      <w:divBdr>
        <w:top w:val="none" w:sz="0" w:space="0" w:color="auto"/>
        <w:left w:val="none" w:sz="0" w:space="0" w:color="auto"/>
        <w:bottom w:val="none" w:sz="0" w:space="0" w:color="auto"/>
        <w:right w:val="none" w:sz="0" w:space="0" w:color="auto"/>
      </w:divBdr>
    </w:div>
    <w:div w:id="57557630">
      <w:bodyDiv w:val="1"/>
      <w:marLeft w:val="0"/>
      <w:marRight w:val="0"/>
      <w:marTop w:val="0"/>
      <w:marBottom w:val="0"/>
      <w:divBdr>
        <w:top w:val="none" w:sz="0" w:space="0" w:color="auto"/>
        <w:left w:val="none" w:sz="0" w:space="0" w:color="auto"/>
        <w:bottom w:val="none" w:sz="0" w:space="0" w:color="auto"/>
        <w:right w:val="none" w:sz="0" w:space="0" w:color="auto"/>
      </w:divBdr>
    </w:div>
    <w:div w:id="298465108">
      <w:bodyDiv w:val="1"/>
      <w:marLeft w:val="0"/>
      <w:marRight w:val="0"/>
      <w:marTop w:val="0"/>
      <w:marBottom w:val="0"/>
      <w:divBdr>
        <w:top w:val="none" w:sz="0" w:space="0" w:color="auto"/>
        <w:left w:val="none" w:sz="0" w:space="0" w:color="auto"/>
        <w:bottom w:val="none" w:sz="0" w:space="0" w:color="auto"/>
        <w:right w:val="none" w:sz="0" w:space="0" w:color="auto"/>
      </w:divBdr>
    </w:div>
    <w:div w:id="348722428">
      <w:bodyDiv w:val="1"/>
      <w:marLeft w:val="0"/>
      <w:marRight w:val="0"/>
      <w:marTop w:val="0"/>
      <w:marBottom w:val="0"/>
      <w:divBdr>
        <w:top w:val="none" w:sz="0" w:space="0" w:color="auto"/>
        <w:left w:val="none" w:sz="0" w:space="0" w:color="auto"/>
        <w:bottom w:val="none" w:sz="0" w:space="0" w:color="auto"/>
        <w:right w:val="none" w:sz="0" w:space="0" w:color="auto"/>
      </w:divBdr>
    </w:div>
    <w:div w:id="436829845">
      <w:bodyDiv w:val="1"/>
      <w:marLeft w:val="0"/>
      <w:marRight w:val="0"/>
      <w:marTop w:val="0"/>
      <w:marBottom w:val="0"/>
      <w:divBdr>
        <w:top w:val="none" w:sz="0" w:space="0" w:color="auto"/>
        <w:left w:val="none" w:sz="0" w:space="0" w:color="auto"/>
        <w:bottom w:val="none" w:sz="0" w:space="0" w:color="auto"/>
        <w:right w:val="none" w:sz="0" w:space="0" w:color="auto"/>
      </w:divBdr>
      <w:divsChild>
        <w:div w:id="453908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153">
      <w:bodyDiv w:val="1"/>
      <w:marLeft w:val="0"/>
      <w:marRight w:val="0"/>
      <w:marTop w:val="0"/>
      <w:marBottom w:val="0"/>
      <w:divBdr>
        <w:top w:val="none" w:sz="0" w:space="0" w:color="auto"/>
        <w:left w:val="none" w:sz="0" w:space="0" w:color="auto"/>
        <w:bottom w:val="none" w:sz="0" w:space="0" w:color="auto"/>
        <w:right w:val="none" w:sz="0" w:space="0" w:color="auto"/>
      </w:divBdr>
    </w:div>
    <w:div w:id="574441936">
      <w:bodyDiv w:val="1"/>
      <w:marLeft w:val="0"/>
      <w:marRight w:val="0"/>
      <w:marTop w:val="0"/>
      <w:marBottom w:val="0"/>
      <w:divBdr>
        <w:top w:val="none" w:sz="0" w:space="0" w:color="auto"/>
        <w:left w:val="none" w:sz="0" w:space="0" w:color="auto"/>
        <w:bottom w:val="none" w:sz="0" w:space="0" w:color="auto"/>
        <w:right w:val="none" w:sz="0" w:space="0" w:color="auto"/>
      </w:divBdr>
    </w:div>
    <w:div w:id="665549586">
      <w:bodyDiv w:val="1"/>
      <w:marLeft w:val="0"/>
      <w:marRight w:val="0"/>
      <w:marTop w:val="0"/>
      <w:marBottom w:val="0"/>
      <w:divBdr>
        <w:top w:val="none" w:sz="0" w:space="0" w:color="auto"/>
        <w:left w:val="none" w:sz="0" w:space="0" w:color="auto"/>
        <w:bottom w:val="none" w:sz="0" w:space="0" w:color="auto"/>
        <w:right w:val="none" w:sz="0" w:space="0" w:color="auto"/>
      </w:divBdr>
    </w:div>
    <w:div w:id="743336994">
      <w:bodyDiv w:val="1"/>
      <w:marLeft w:val="0"/>
      <w:marRight w:val="0"/>
      <w:marTop w:val="0"/>
      <w:marBottom w:val="0"/>
      <w:divBdr>
        <w:top w:val="none" w:sz="0" w:space="0" w:color="auto"/>
        <w:left w:val="none" w:sz="0" w:space="0" w:color="auto"/>
        <w:bottom w:val="none" w:sz="0" w:space="0" w:color="auto"/>
        <w:right w:val="none" w:sz="0" w:space="0" w:color="auto"/>
      </w:divBdr>
    </w:div>
    <w:div w:id="748042096">
      <w:bodyDiv w:val="1"/>
      <w:marLeft w:val="0"/>
      <w:marRight w:val="0"/>
      <w:marTop w:val="0"/>
      <w:marBottom w:val="0"/>
      <w:divBdr>
        <w:top w:val="none" w:sz="0" w:space="0" w:color="auto"/>
        <w:left w:val="none" w:sz="0" w:space="0" w:color="auto"/>
        <w:bottom w:val="none" w:sz="0" w:space="0" w:color="auto"/>
        <w:right w:val="none" w:sz="0" w:space="0" w:color="auto"/>
      </w:divBdr>
    </w:div>
    <w:div w:id="756829072">
      <w:bodyDiv w:val="1"/>
      <w:marLeft w:val="0"/>
      <w:marRight w:val="0"/>
      <w:marTop w:val="0"/>
      <w:marBottom w:val="0"/>
      <w:divBdr>
        <w:top w:val="none" w:sz="0" w:space="0" w:color="auto"/>
        <w:left w:val="none" w:sz="0" w:space="0" w:color="auto"/>
        <w:bottom w:val="none" w:sz="0" w:space="0" w:color="auto"/>
        <w:right w:val="none" w:sz="0" w:space="0" w:color="auto"/>
      </w:divBdr>
    </w:div>
    <w:div w:id="762990138">
      <w:bodyDiv w:val="1"/>
      <w:marLeft w:val="0"/>
      <w:marRight w:val="0"/>
      <w:marTop w:val="0"/>
      <w:marBottom w:val="0"/>
      <w:divBdr>
        <w:top w:val="none" w:sz="0" w:space="0" w:color="auto"/>
        <w:left w:val="none" w:sz="0" w:space="0" w:color="auto"/>
        <w:bottom w:val="none" w:sz="0" w:space="0" w:color="auto"/>
        <w:right w:val="none" w:sz="0" w:space="0" w:color="auto"/>
      </w:divBdr>
    </w:div>
    <w:div w:id="864901233">
      <w:bodyDiv w:val="1"/>
      <w:marLeft w:val="0"/>
      <w:marRight w:val="0"/>
      <w:marTop w:val="0"/>
      <w:marBottom w:val="0"/>
      <w:divBdr>
        <w:top w:val="none" w:sz="0" w:space="0" w:color="auto"/>
        <w:left w:val="none" w:sz="0" w:space="0" w:color="auto"/>
        <w:bottom w:val="none" w:sz="0" w:space="0" w:color="auto"/>
        <w:right w:val="none" w:sz="0" w:space="0" w:color="auto"/>
      </w:divBdr>
    </w:div>
    <w:div w:id="979967689">
      <w:bodyDiv w:val="1"/>
      <w:marLeft w:val="0"/>
      <w:marRight w:val="0"/>
      <w:marTop w:val="0"/>
      <w:marBottom w:val="0"/>
      <w:divBdr>
        <w:top w:val="none" w:sz="0" w:space="0" w:color="auto"/>
        <w:left w:val="none" w:sz="0" w:space="0" w:color="auto"/>
        <w:bottom w:val="none" w:sz="0" w:space="0" w:color="auto"/>
        <w:right w:val="none" w:sz="0" w:space="0" w:color="auto"/>
      </w:divBdr>
    </w:div>
    <w:div w:id="1066494750">
      <w:bodyDiv w:val="1"/>
      <w:marLeft w:val="0"/>
      <w:marRight w:val="0"/>
      <w:marTop w:val="0"/>
      <w:marBottom w:val="0"/>
      <w:divBdr>
        <w:top w:val="none" w:sz="0" w:space="0" w:color="auto"/>
        <w:left w:val="none" w:sz="0" w:space="0" w:color="auto"/>
        <w:bottom w:val="none" w:sz="0" w:space="0" w:color="auto"/>
        <w:right w:val="none" w:sz="0" w:space="0" w:color="auto"/>
      </w:divBdr>
    </w:div>
    <w:div w:id="1334380856">
      <w:bodyDiv w:val="1"/>
      <w:marLeft w:val="0"/>
      <w:marRight w:val="0"/>
      <w:marTop w:val="0"/>
      <w:marBottom w:val="0"/>
      <w:divBdr>
        <w:top w:val="none" w:sz="0" w:space="0" w:color="auto"/>
        <w:left w:val="none" w:sz="0" w:space="0" w:color="auto"/>
        <w:bottom w:val="none" w:sz="0" w:space="0" w:color="auto"/>
        <w:right w:val="none" w:sz="0" w:space="0" w:color="auto"/>
      </w:divBdr>
    </w:div>
    <w:div w:id="1368212660">
      <w:bodyDiv w:val="1"/>
      <w:marLeft w:val="0"/>
      <w:marRight w:val="0"/>
      <w:marTop w:val="0"/>
      <w:marBottom w:val="0"/>
      <w:divBdr>
        <w:top w:val="none" w:sz="0" w:space="0" w:color="auto"/>
        <w:left w:val="none" w:sz="0" w:space="0" w:color="auto"/>
        <w:bottom w:val="none" w:sz="0" w:space="0" w:color="auto"/>
        <w:right w:val="none" w:sz="0" w:space="0" w:color="auto"/>
      </w:divBdr>
    </w:div>
    <w:div w:id="1409762811">
      <w:bodyDiv w:val="1"/>
      <w:marLeft w:val="0"/>
      <w:marRight w:val="0"/>
      <w:marTop w:val="0"/>
      <w:marBottom w:val="0"/>
      <w:divBdr>
        <w:top w:val="none" w:sz="0" w:space="0" w:color="auto"/>
        <w:left w:val="none" w:sz="0" w:space="0" w:color="auto"/>
        <w:bottom w:val="none" w:sz="0" w:space="0" w:color="auto"/>
        <w:right w:val="none" w:sz="0" w:space="0" w:color="auto"/>
      </w:divBdr>
    </w:div>
    <w:div w:id="1477986223">
      <w:bodyDiv w:val="1"/>
      <w:marLeft w:val="0"/>
      <w:marRight w:val="0"/>
      <w:marTop w:val="0"/>
      <w:marBottom w:val="0"/>
      <w:divBdr>
        <w:top w:val="none" w:sz="0" w:space="0" w:color="auto"/>
        <w:left w:val="none" w:sz="0" w:space="0" w:color="auto"/>
        <w:bottom w:val="none" w:sz="0" w:space="0" w:color="auto"/>
        <w:right w:val="none" w:sz="0" w:space="0" w:color="auto"/>
      </w:divBdr>
    </w:div>
    <w:div w:id="1509518415">
      <w:bodyDiv w:val="1"/>
      <w:marLeft w:val="0"/>
      <w:marRight w:val="0"/>
      <w:marTop w:val="0"/>
      <w:marBottom w:val="0"/>
      <w:divBdr>
        <w:top w:val="none" w:sz="0" w:space="0" w:color="auto"/>
        <w:left w:val="none" w:sz="0" w:space="0" w:color="auto"/>
        <w:bottom w:val="none" w:sz="0" w:space="0" w:color="auto"/>
        <w:right w:val="none" w:sz="0" w:space="0" w:color="auto"/>
      </w:divBdr>
    </w:div>
    <w:div w:id="1547185083">
      <w:bodyDiv w:val="1"/>
      <w:marLeft w:val="0"/>
      <w:marRight w:val="0"/>
      <w:marTop w:val="0"/>
      <w:marBottom w:val="0"/>
      <w:divBdr>
        <w:top w:val="none" w:sz="0" w:space="0" w:color="auto"/>
        <w:left w:val="none" w:sz="0" w:space="0" w:color="auto"/>
        <w:bottom w:val="none" w:sz="0" w:space="0" w:color="auto"/>
        <w:right w:val="none" w:sz="0" w:space="0" w:color="auto"/>
      </w:divBdr>
    </w:div>
    <w:div w:id="1566138241">
      <w:bodyDiv w:val="1"/>
      <w:marLeft w:val="0"/>
      <w:marRight w:val="0"/>
      <w:marTop w:val="0"/>
      <w:marBottom w:val="0"/>
      <w:divBdr>
        <w:top w:val="none" w:sz="0" w:space="0" w:color="auto"/>
        <w:left w:val="none" w:sz="0" w:space="0" w:color="auto"/>
        <w:bottom w:val="none" w:sz="0" w:space="0" w:color="auto"/>
        <w:right w:val="none" w:sz="0" w:space="0" w:color="auto"/>
      </w:divBdr>
    </w:div>
    <w:div w:id="1608191768">
      <w:bodyDiv w:val="1"/>
      <w:marLeft w:val="0"/>
      <w:marRight w:val="0"/>
      <w:marTop w:val="0"/>
      <w:marBottom w:val="0"/>
      <w:divBdr>
        <w:top w:val="none" w:sz="0" w:space="0" w:color="auto"/>
        <w:left w:val="none" w:sz="0" w:space="0" w:color="auto"/>
        <w:bottom w:val="none" w:sz="0" w:space="0" w:color="auto"/>
        <w:right w:val="none" w:sz="0" w:space="0" w:color="auto"/>
      </w:divBdr>
    </w:div>
    <w:div w:id="1648054037">
      <w:bodyDiv w:val="1"/>
      <w:marLeft w:val="0"/>
      <w:marRight w:val="0"/>
      <w:marTop w:val="0"/>
      <w:marBottom w:val="0"/>
      <w:divBdr>
        <w:top w:val="none" w:sz="0" w:space="0" w:color="auto"/>
        <w:left w:val="none" w:sz="0" w:space="0" w:color="auto"/>
        <w:bottom w:val="none" w:sz="0" w:space="0" w:color="auto"/>
        <w:right w:val="none" w:sz="0" w:space="0" w:color="auto"/>
      </w:divBdr>
    </w:div>
    <w:div w:id="1801268805">
      <w:bodyDiv w:val="1"/>
      <w:marLeft w:val="0"/>
      <w:marRight w:val="0"/>
      <w:marTop w:val="0"/>
      <w:marBottom w:val="0"/>
      <w:divBdr>
        <w:top w:val="none" w:sz="0" w:space="0" w:color="auto"/>
        <w:left w:val="none" w:sz="0" w:space="0" w:color="auto"/>
        <w:bottom w:val="none" w:sz="0" w:space="0" w:color="auto"/>
        <w:right w:val="none" w:sz="0" w:space="0" w:color="auto"/>
      </w:divBdr>
    </w:div>
    <w:div w:id="1834026427">
      <w:bodyDiv w:val="1"/>
      <w:marLeft w:val="0"/>
      <w:marRight w:val="0"/>
      <w:marTop w:val="0"/>
      <w:marBottom w:val="0"/>
      <w:divBdr>
        <w:top w:val="none" w:sz="0" w:space="0" w:color="auto"/>
        <w:left w:val="none" w:sz="0" w:space="0" w:color="auto"/>
        <w:bottom w:val="none" w:sz="0" w:space="0" w:color="auto"/>
        <w:right w:val="none" w:sz="0" w:space="0" w:color="auto"/>
      </w:divBdr>
    </w:div>
    <w:div w:id="1874267127">
      <w:bodyDiv w:val="1"/>
      <w:marLeft w:val="0"/>
      <w:marRight w:val="0"/>
      <w:marTop w:val="0"/>
      <w:marBottom w:val="0"/>
      <w:divBdr>
        <w:top w:val="none" w:sz="0" w:space="0" w:color="auto"/>
        <w:left w:val="none" w:sz="0" w:space="0" w:color="auto"/>
        <w:bottom w:val="none" w:sz="0" w:space="0" w:color="auto"/>
        <w:right w:val="none" w:sz="0" w:space="0" w:color="auto"/>
      </w:divBdr>
    </w:div>
    <w:div w:id="1887830430">
      <w:bodyDiv w:val="1"/>
      <w:marLeft w:val="0"/>
      <w:marRight w:val="0"/>
      <w:marTop w:val="0"/>
      <w:marBottom w:val="0"/>
      <w:divBdr>
        <w:top w:val="none" w:sz="0" w:space="0" w:color="auto"/>
        <w:left w:val="none" w:sz="0" w:space="0" w:color="auto"/>
        <w:bottom w:val="none" w:sz="0" w:space="0" w:color="auto"/>
        <w:right w:val="none" w:sz="0" w:space="0" w:color="auto"/>
      </w:divBdr>
    </w:div>
    <w:div w:id="2009403544">
      <w:bodyDiv w:val="1"/>
      <w:marLeft w:val="0"/>
      <w:marRight w:val="0"/>
      <w:marTop w:val="0"/>
      <w:marBottom w:val="0"/>
      <w:divBdr>
        <w:top w:val="none" w:sz="0" w:space="0" w:color="auto"/>
        <w:left w:val="none" w:sz="0" w:space="0" w:color="auto"/>
        <w:bottom w:val="none" w:sz="0" w:space="0" w:color="auto"/>
        <w:right w:val="none" w:sz="0" w:space="0" w:color="auto"/>
      </w:divBdr>
    </w:div>
    <w:div w:id="2025135384">
      <w:bodyDiv w:val="1"/>
      <w:marLeft w:val="0"/>
      <w:marRight w:val="0"/>
      <w:marTop w:val="0"/>
      <w:marBottom w:val="0"/>
      <w:divBdr>
        <w:top w:val="none" w:sz="0" w:space="0" w:color="auto"/>
        <w:left w:val="none" w:sz="0" w:space="0" w:color="auto"/>
        <w:bottom w:val="none" w:sz="0" w:space="0" w:color="auto"/>
        <w:right w:val="none" w:sz="0" w:space="0" w:color="auto"/>
      </w:divBdr>
    </w:div>
    <w:div w:id="21252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sa@bsa-org.com" TargetMode="External"/><Relationship Id="rId1" Type="http://schemas.openxmlformats.org/officeDocument/2006/relationships/hyperlink" Target="http://www.bsa-org.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bsa@bsa-org.com" TargetMode="External"/><Relationship Id="rId1" Type="http://schemas.openxmlformats.org/officeDocument/2006/relationships/hyperlink" Target="http://www.bsa-org.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970A53E46104EA8089D9A420A0733" ma:contentTypeVersion="12" ma:contentTypeDescription="Create a new document." ma:contentTypeScope="" ma:versionID="f4486e5dbdfac49a7892932ebd71018f">
  <xsd:schema xmlns:xsd="http://www.w3.org/2001/XMLSchema" xmlns:xs="http://www.w3.org/2001/XMLSchema" xmlns:p="http://schemas.microsoft.com/office/2006/metadata/properties" xmlns:ns2="4c31c226-84e3-4d8a-8116-b5860524a8b5" xmlns:ns3="c91a1d71-3464-4c8e-9578-c854c4a81661" targetNamespace="http://schemas.microsoft.com/office/2006/metadata/properties" ma:root="true" ma:fieldsID="46d053d7a94548c58577b5c4318adae8" ns2:_="" ns3:_="">
    <xsd:import namespace="4c31c226-84e3-4d8a-8116-b5860524a8b5"/>
    <xsd:import namespace="c91a1d71-3464-4c8e-9578-c854c4a816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1c226-84e3-4d8a-8116-b5860524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1d71-3464-4c8e-9578-c854c4a816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A635-660C-4BBD-82B1-658285CDF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1c226-84e3-4d8a-8116-b5860524a8b5"/>
    <ds:schemaRef ds:uri="c91a1d71-3464-4c8e-9578-c854c4a81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12355-9940-413D-8AD7-6C6FBBC09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B8556-5DD5-495B-B377-B4FAF4ABD04A}">
  <ds:schemaRefs>
    <ds:schemaRef ds:uri="http://schemas.microsoft.com/sharepoint/v3/contenttype/forms"/>
  </ds:schemaRefs>
</ds:datastoreItem>
</file>

<file path=customXml/itemProps4.xml><?xml version="1.0" encoding="utf-8"?>
<ds:datastoreItem xmlns:ds="http://schemas.openxmlformats.org/officeDocument/2006/customXml" ds:itemID="{5E993C52-1067-8144-BFE0-4DF56DAE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28345</CharactersWithSpaces>
  <SharedDoc>false</SharedDoc>
  <HLinks>
    <vt:vector size="24" baseType="variant">
      <vt:variant>
        <vt:i4>6553620</vt:i4>
      </vt:variant>
      <vt:variant>
        <vt:i4>9</vt:i4>
      </vt:variant>
      <vt:variant>
        <vt:i4>0</vt:i4>
      </vt:variant>
      <vt:variant>
        <vt:i4>5</vt:i4>
      </vt:variant>
      <vt:variant>
        <vt:lpwstr>mailto:bsa@bsa-org.com</vt:lpwstr>
      </vt:variant>
      <vt:variant>
        <vt:lpwstr/>
      </vt:variant>
      <vt:variant>
        <vt:i4>3014717</vt:i4>
      </vt:variant>
      <vt:variant>
        <vt:i4>6</vt:i4>
      </vt:variant>
      <vt:variant>
        <vt:i4>0</vt:i4>
      </vt:variant>
      <vt:variant>
        <vt:i4>5</vt:i4>
      </vt:variant>
      <vt:variant>
        <vt:lpwstr>http://www.bsa-org.com/</vt:lpwstr>
      </vt:variant>
      <vt:variant>
        <vt:lpwstr/>
      </vt:variant>
      <vt:variant>
        <vt:i4>6553620</vt:i4>
      </vt:variant>
      <vt:variant>
        <vt:i4>3</vt:i4>
      </vt:variant>
      <vt:variant>
        <vt:i4>0</vt:i4>
      </vt:variant>
      <vt:variant>
        <vt:i4>5</vt:i4>
      </vt:variant>
      <vt:variant>
        <vt:lpwstr>mailto:bsa@bsa-org.com</vt:lpwstr>
      </vt:variant>
      <vt:variant>
        <vt:lpwstr/>
      </vt:variant>
      <vt:variant>
        <vt:i4>3014717</vt:i4>
      </vt:variant>
      <vt:variant>
        <vt:i4>0</vt:i4>
      </vt:variant>
      <vt:variant>
        <vt:i4>0</vt:i4>
      </vt:variant>
      <vt:variant>
        <vt:i4>5</vt:i4>
      </vt:variant>
      <vt:variant>
        <vt:lpwstr>http://www.bsa-org.com/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Neill</dc:creator>
  <cp:keywords/>
  <dc:description/>
  <cp:lastModifiedBy>Melanie Maxwell Scott</cp:lastModifiedBy>
  <cp:revision>39</cp:revision>
  <dcterms:created xsi:type="dcterms:W3CDTF">2020-06-17T17:22:00Z</dcterms:created>
  <dcterms:modified xsi:type="dcterms:W3CDTF">2020-06-24T11:47:00Z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0x010100651970A53E46104EA8089D9A420A0733</vt:lpwstr>
  </property>
</Properties>
</file>