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5FB5" w14:textId="5E7338E7" w:rsidR="00BA749E" w:rsidRDefault="00BA749E"/>
    <w:p w14:paraId="408A992B" w14:textId="2022D7EC" w:rsidR="009376F5" w:rsidRDefault="009376F5" w:rsidP="009376F5">
      <w:pPr>
        <w:jc w:val="center"/>
        <w:rPr>
          <w:b/>
          <w:bCs/>
        </w:rPr>
      </w:pPr>
      <w:r w:rsidRPr="009376F5">
        <w:rPr>
          <w:b/>
          <w:bCs/>
        </w:rPr>
        <w:t xml:space="preserve">BSA </w:t>
      </w:r>
      <w:r>
        <w:rPr>
          <w:b/>
          <w:bCs/>
        </w:rPr>
        <w:t>– The Business Services Association</w:t>
      </w:r>
    </w:p>
    <w:p w14:paraId="73C22F48" w14:textId="77777777" w:rsidR="009376F5" w:rsidRDefault="009376F5" w:rsidP="009376F5">
      <w:pPr>
        <w:jc w:val="center"/>
        <w:rPr>
          <w:b/>
          <w:bCs/>
        </w:rPr>
      </w:pPr>
    </w:p>
    <w:p w14:paraId="70EBE330" w14:textId="74F24FFA" w:rsidR="009376F5" w:rsidRPr="009376F5" w:rsidRDefault="009376F5" w:rsidP="009376F5">
      <w:pPr>
        <w:jc w:val="center"/>
        <w:rPr>
          <w:b/>
          <w:bCs/>
        </w:rPr>
      </w:pPr>
      <w:r w:rsidRPr="009376F5">
        <w:rPr>
          <w:b/>
          <w:bCs/>
        </w:rPr>
        <w:t>Response to the Ministry of Housing, Communities and Local Government</w:t>
      </w:r>
    </w:p>
    <w:p w14:paraId="055AEEDB" w14:textId="5FE78420" w:rsidR="009376F5" w:rsidRDefault="009376F5" w:rsidP="009376F5">
      <w:pPr>
        <w:jc w:val="center"/>
        <w:rPr>
          <w:b/>
          <w:bCs/>
        </w:rPr>
      </w:pPr>
      <w:r w:rsidRPr="009376F5">
        <w:rPr>
          <w:b/>
          <w:bCs/>
        </w:rPr>
        <w:t>‘Local Government Pension Scheme – Amendments to the statutory underpin consultation’</w:t>
      </w:r>
    </w:p>
    <w:p w14:paraId="4FC4AF0B" w14:textId="477C16A8" w:rsidR="009376F5" w:rsidRDefault="009376F5">
      <w:pPr>
        <w:rPr>
          <w:b/>
          <w:bCs/>
        </w:rPr>
      </w:pPr>
    </w:p>
    <w:p w14:paraId="7E7E06D1" w14:textId="6BE3F426" w:rsidR="009376F5" w:rsidRDefault="009376F5" w:rsidP="009376F5">
      <w:pPr>
        <w:jc w:val="center"/>
        <w:rPr>
          <w:b/>
          <w:bCs/>
        </w:rPr>
      </w:pPr>
      <w:r>
        <w:rPr>
          <w:b/>
          <w:bCs/>
        </w:rPr>
        <w:t>October 2020</w:t>
      </w:r>
    </w:p>
    <w:p w14:paraId="4BEC55F8" w14:textId="77777777" w:rsidR="009376F5" w:rsidRDefault="009376F5" w:rsidP="009376F5">
      <w:pPr>
        <w:rPr>
          <w:b/>
          <w:bCs/>
        </w:rPr>
      </w:pPr>
      <w:r w:rsidRPr="00DF4A0F">
        <w:rPr>
          <w:b/>
          <w:bCs/>
        </w:rPr>
        <w:t>Background</w:t>
      </w:r>
    </w:p>
    <w:p w14:paraId="44AAF50B" w14:textId="77777777" w:rsidR="009376F5" w:rsidRDefault="009376F5" w:rsidP="009376F5">
      <w:pPr>
        <w:rPr>
          <w:lang w:val="en-US"/>
        </w:rPr>
      </w:pPr>
      <w:r>
        <w:rPr>
          <w:lang w:val="en-US"/>
        </w:rPr>
        <w:t xml:space="preserve">The Business Services Association – the BSA - brings together those who are interested in delivering efficient, </w:t>
      </w:r>
      <w:proofErr w:type="gramStart"/>
      <w:r>
        <w:rPr>
          <w:lang w:val="en-US"/>
        </w:rPr>
        <w:t>flexible</w:t>
      </w:r>
      <w:proofErr w:type="gramEnd"/>
      <w:r>
        <w:rPr>
          <w:lang w:val="en-US"/>
        </w:rPr>
        <w:t xml:space="preserve"> and cost-effective service and infrastructure projects across the private and public sectors. A list of our members is attached as an Annex. They include large and small businesses, </w:t>
      </w:r>
      <w:proofErr w:type="gramStart"/>
      <w:r>
        <w:rPr>
          <w:lang w:val="en-US"/>
        </w:rPr>
        <w:t>charities</w:t>
      </w:r>
      <w:proofErr w:type="gramEnd"/>
      <w:r>
        <w:rPr>
          <w:lang w:val="en-US"/>
        </w:rPr>
        <w:t xml:space="preserve"> and social enterprises. </w:t>
      </w:r>
    </w:p>
    <w:p w14:paraId="6D878627" w14:textId="77777777" w:rsidR="009376F5" w:rsidRPr="006D08EC" w:rsidRDefault="009376F5" w:rsidP="009376F5">
      <w:pPr>
        <w:rPr>
          <w:lang w:val="en-US"/>
        </w:rPr>
      </w:pPr>
      <w:r>
        <w:rPr>
          <w:lang w:val="en-US"/>
        </w:rPr>
        <w:t xml:space="preserve">The sector includes ICT, facilities management, construction and infrastructure provision and other project delivery. 70 per cent of services are provided business-to-business and 30 per cent for the public sector. The sector employs 3.3 million people across the UK, accounting for around 1 in 10 jobs. As such it is an important driver of inclusive economic growth across every region and community.    </w:t>
      </w:r>
    </w:p>
    <w:p w14:paraId="0CD73F32" w14:textId="77777777" w:rsidR="00AA38C0" w:rsidRDefault="009376F5" w:rsidP="009376F5">
      <w:r w:rsidRPr="00DF4A0F">
        <w:t xml:space="preserve">The BSA represents many employers who participate in the Local Government Pension Scheme (the “LGPS”). Almost all BSA members who participate do so as tier 4 members, or admission bodies. </w:t>
      </w:r>
    </w:p>
    <w:p w14:paraId="03327A3C" w14:textId="17C17DF6" w:rsidR="009376F5" w:rsidRDefault="009376F5" w:rsidP="009376F5">
      <w:r w:rsidRPr="00DF4A0F">
        <w:t>Our response is based on the concerns of those employers.</w:t>
      </w:r>
      <w:r w:rsidR="00AA38C0">
        <w:t xml:space="preserve"> With this in mind, we have only included responses to those questions on which we offer comment or those that directly impact upon our members. </w:t>
      </w:r>
    </w:p>
    <w:p w14:paraId="60461441" w14:textId="77777777" w:rsidR="00AA38C0" w:rsidRPr="00DF4A0F" w:rsidRDefault="00AA38C0" w:rsidP="009376F5"/>
    <w:p w14:paraId="733C6A58" w14:textId="6B6CD380" w:rsidR="009376F5" w:rsidRDefault="009376F5">
      <w:pPr>
        <w:rPr>
          <w:b/>
          <w:bCs/>
        </w:rPr>
      </w:pPr>
      <w:r>
        <w:rPr>
          <w:b/>
          <w:bCs/>
        </w:rPr>
        <w:br w:type="page"/>
      </w:r>
    </w:p>
    <w:p w14:paraId="48FABA21" w14:textId="77777777" w:rsidR="009376F5" w:rsidRDefault="009376F5">
      <w:pPr>
        <w:rPr>
          <w:b/>
          <w:bCs/>
        </w:rPr>
      </w:pPr>
    </w:p>
    <w:tbl>
      <w:tblPr>
        <w:tblStyle w:val="TableGrid"/>
        <w:tblW w:w="0" w:type="auto"/>
        <w:tblInd w:w="0" w:type="dxa"/>
        <w:tblLook w:val="04A0" w:firstRow="1" w:lastRow="0" w:firstColumn="1" w:lastColumn="0" w:noHBand="0" w:noVBand="1"/>
      </w:tblPr>
      <w:tblGrid>
        <w:gridCol w:w="560"/>
        <w:gridCol w:w="3971"/>
        <w:gridCol w:w="4485"/>
      </w:tblGrid>
      <w:tr w:rsidR="009376F5" w:rsidRPr="00350B99" w14:paraId="1ED33A32" w14:textId="77777777" w:rsidTr="009376F5">
        <w:tc>
          <w:tcPr>
            <w:tcW w:w="560" w:type="dxa"/>
          </w:tcPr>
          <w:p w14:paraId="7951F39A"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No.</w:t>
            </w:r>
          </w:p>
        </w:tc>
        <w:tc>
          <w:tcPr>
            <w:tcW w:w="3971" w:type="dxa"/>
          </w:tcPr>
          <w:p w14:paraId="57FB462B"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Question</w:t>
            </w:r>
          </w:p>
        </w:tc>
        <w:tc>
          <w:tcPr>
            <w:tcW w:w="4485" w:type="dxa"/>
          </w:tcPr>
          <w:p w14:paraId="5DBFB6C3"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BSA response</w:t>
            </w:r>
          </w:p>
        </w:tc>
      </w:tr>
      <w:tr w:rsidR="009376F5" w14:paraId="1683322E" w14:textId="77777777" w:rsidTr="009376F5">
        <w:tc>
          <w:tcPr>
            <w:tcW w:w="560" w:type="dxa"/>
          </w:tcPr>
          <w:p w14:paraId="286C6476"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1</w:t>
            </w:r>
          </w:p>
        </w:tc>
        <w:tc>
          <w:tcPr>
            <w:tcW w:w="3971" w:type="dxa"/>
          </w:tcPr>
          <w:p w14:paraId="6156C39B"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 xml:space="preserve">Do you agree with our proposal to remove the discrimination found in the McCloud and </w:t>
            </w:r>
            <w:proofErr w:type="spellStart"/>
            <w:r w:rsidRPr="009376F5">
              <w:rPr>
                <w:rFonts w:ascii="Trebuchet MS" w:hAnsi="Trebuchet MS"/>
                <w:b/>
                <w:bCs/>
                <w:sz w:val="20"/>
                <w:szCs w:val="20"/>
              </w:rPr>
              <w:t>Sargeant</w:t>
            </w:r>
            <w:proofErr w:type="spellEnd"/>
            <w:r w:rsidRPr="009376F5">
              <w:rPr>
                <w:rFonts w:ascii="Trebuchet MS" w:hAnsi="Trebuchet MS"/>
                <w:b/>
                <w:bCs/>
                <w:sz w:val="20"/>
                <w:szCs w:val="20"/>
              </w:rPr>
              <w:t xml:space="preserve"> cases by extending the underpin to younger scheme members?</w:t>
            </w:r>
          </w:p>
        </w:tc>
        <w:tc>
          <w:tcPr>
            <w:tcW w:w="4485" w:type="dxa"/>
          </w:tcPr>
          <w:p w14:paraId="589AE8C0"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It is difficult to rectify discriminatory practices by “levelling down” to the inferior position without some form of objective justification.</w:t>
            </w:r>
          </w:p>
          <w:p w14:paraId="49DFE69D" w14:textId="77777777" w:rsidR="009376F5" w:rsidRPr="009376F5" w:rsidRDefault="009376F5" w:rsidP="00E548C4">
            <w:pPr>
              <w:pStyle w:val="CMSANNormal"/>
              <w:rPr>
                <w:rFonts w:ascii="Trebuchet MS" w:hAnsi="Trebuchet MS"/>
                <w:sz w:val="20"/>
                <w:szCs w:val="20"/>
              </w:rPr>
            </w:pPr>
          </w:p>
          <w:p w14:paraId="2D9EFF36" w14:textId="19C89065"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The BSA supports fairness in the workplace and cannot see that, in this case</w:t>
            </w:r>
            <w:r w:rsidR="00AA38C0">
              <w:rPr>
                <w:rFonts w:ascii="Trebuchet MS" w:hAnsi="Trebuchet MS"/>
                <w:sz w:val="20"/>
                <w:szCs w:val="20"/>
              </w:rPr>
              <w:t>,</w:t>
            </w:r>
            <w:r w:rsidRPr="009376F5">
              <w:rPr>
                <w:rFonts w:ascii="Trebuchet MS" w:hAnsi="Trebuchet MS"/>
                <w:sz w:val="20"/>
                <w:szCs w:val="20"/>
              </w:rPr>
              <w:t xml:space="preserve"> cost would provide an objectively justifiable reason for removing the underpin from those members who previously benefitted from it.</w:t>
            </w:r>
          </w:p>
          <w:p w14:paraId="47B17CDB" w14:textId="77777777" w:rsidR="009376F5" w:rsidRPr="009376F5" w:rsidRDefault="009376F5" w:rsidP="00E548C4">
            <w:pPr>
              <w:pStyle w:val="CMSANNormal"/>
              <w:rPr>
                <w:rFonts w:ascii="Trebuchet MS" w:hAnsi="Trebuchet MS"/>
                <w:sz w:val="20"/>
                <w:szCs w:val="20"/>
              </w:rPr>
            </w:pPr>
          </w:p>
          <w:p w14:paraId="7F0FA6E9" w14:textId="3E58330E"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Consequently, while we agree with the approach being proposed</w:t>
            </w:r>
            <w:r w:rsidR="00AA38C0">
              <w:rPr>
                <w:rFonts w:ascii="Trebuchet MS" w:hAnsi="Trebuchet MS"/>
                <w:sz w:val="20"/>
                <w:szCs w:val="20"/>
              </w:rPr>
              <w:t>,</w:t>
            </w:r>
            <w:r w:rsidRPr="009376F5">
              <w:rPr>
                <w:rFonts w:ascii="Trebuchet MS" w:hAnsi="Trebuchet MS"/>
                <w:sz w:val="20"/>
                <w:szCs w:val="20"/>
              </w:rPr>
              <w:t xml:space="preserve"> we would like to see some form of protection (as set out in our responses to questions 5, 26 and 29 below).</w:t>
            </w:r>
          </w:p>
        </w:tc>
      </w:tr>
      <w:tr w:rsidR="009376F5" w14:paraId="65A2C76C" w14:textId="77777777" w:rsidTr="009376F5">
        <w:tc>
          <w:tcPr>
            <w:tcW w:w="560" w:type="dxa"/>
          </w:tcPr>
          <w:p w14:paraId="4228DA2A"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2</w:t>
            </w:r>
          </w:p>
        </w:tc>
        <w:tc>
          <w:tcPr>
            <w:tcW w:w="3971" w:type="dxa"/>
          </w:tcPr>
          <w:p w14:paraId="344653BA"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agree that the underpin period should end in March 2022?</w:t>
            </w:r>
          </w:p>
        </w:tc>
        <w:tc>
          <w:tcPr>
            <w:tcW w:w="4485" w:type="dxa"/>
          </w:tcPr>
          <w:p w14:paraId="0906D194"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This proposal is consistent with the original underpin regime so we agree that the underpin period should end on 31 March 2022.</w:t>
            </w:r>
          </w:p>
        </w:tc>
      </w:tr>
      <w:tr w:rsidR="009376F5" w14:paraId="2E213E52" w14:textId="77777777" w:rsidTr="009376F5">
        <w:tc>
          <w:tcPr>
            <w:tcW w:w="560" w:type="dxa"/>
          </w:tcPr>
          <w:p w14:paraId="30C95DF7"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3</w:t>
            </w:r>
          </w:p>
        </w:tc>
        <w:tc>
          <w:tcPr>
            <w:tcW w:w="3971" w:type="dxa"/>
          </w:tcPr>
          <w:p w14:paraId="38269D81"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agree that the revised regulations should apply retrospectively to 1st April 2014?</w:t>
            </w:r>
          </w:p>
        </w:tc>
        <w:tc>
          <w:tcPr>
            <w:tcW w:w="4485" w:type="dxa"/>
          </w:tcPr>
          <w:p w14:paraId="3C75305C"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The principle of “minimum interference” has been recognised in pension cases in the courts, most recently in the </w:t>
            </w:r>
            <w:r w:rsidRPr="009376F5">
              <w:rPr>
                <w:rFonts w:ascii="Trebuchet MS" w:hAnsi="Trebuchet MS"/>
                <w:i/>
                <w:iCs/>
                <w:sz w:val="20"/>
                <w:szCs w:val="20"/>
              </w:rPr>
              <w:t xml:space="preserve">Lloyds Banking Group Pension Trustees v Lloyds Bank [2018] EWHC </w:t>
            </w:r>
            <w:proofErr w:type="gramStart"/>
            <w:r w:rsidRPr="009376F5">
              <w:rPr>
                <w:rFonts w:ascii="Trebuchet MS" w:hAnsi="Trebuchet MS"/>
                <w:i/>
                <w:iCs/>
                <w:sz w:val="20"/>
                <w:szCs w:val="20"/>
              </w:rPr>
              <w:t>2839 )Ch</w:t>
            </w:r>
            <w:proofErr w:type="gramEnd"/>
            <w:r w:rsidRPr="009376F5">
              <w:rPr>
                <w:rFonts w:ascii="Trebuchet MS" w:hAnsi="Trebuchet MS"/>
                <w:i/>
                <w:iCs/>
                <w:sz w:val="20"/>
                <w:szCs w:val="20"/>
              </w:rPr>
              <w:t>)</w:t>
            </w:r>
            <w:r w:rsidRPr="009376F5">
              <w:rPr>
                <w:rFonts w:ascii="Trebuchet MS" w:hAnsi="Trebuchet MS"/>
                <w:sz w:val="20"/>
                <w:szCs w:val="20"/>
              </w:rPr>
              <w:t>.</w:t>
            </w:r>
          </w:p>
          <w:p w14:paraId="76CD12BC" w14:textId="77777777" w:rsidR="009376F5" w:rsidRPr="009376F5" w:rsidRDefault="009376F5" w:rsidP="00E548C4">
            <w:pPr>
              <w:pStyle w:val="CMSANNormal"/>
              <w:rPr>
                <w:rFonts w:ascii="Trebuchet MS" w:hAnsi="Trebuchet MS"/>
                <w:sz w:val="20"/>
                <w:szCs w:val="20"/>
              </w:rPr>
            </w:pPr>
          </w:p>
          <w:p w14:paraId="3454A3EB"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Consequently, we agree with the proposal to backdate the revised regulations to 1 April 2014 in line with the provisions of the original underpin.</w:t>
            </w:r>
          </w:p>
        </w:tc>
      </w:tr>
      <w:tr w:rsidR="009376F5" w14:paraId="745EF013" w14:textId="77777777" w:rsidTr="009376F5">
        <w:tc>
          <w:tcPr>
            <w:tcW w:w="560" w:type="dxa"/>
          </w:tcPr>
          <w:p w14:paraId="4C60A25C"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4</w:t>
            </w:r>
          </w:p>
        </w:tc>
        <w:tc>
          <w:tcPr>
            <w:tcW w:w="3971" w:type="dxa"/>
          </w:tcPr>
          <w:p w14:paraId="324183B5"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the draft regulations implement the revised underpin which we describe in this paper?</w:t>
            </w:r>
          </w:p>
        </w:tc>
        <w:tc>
          <w:tcPr>
            <w:tcW w:w="4485" w:type="dxa"/>
          </w:tcPr>
          <w:p w14:paraId="166679E4"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Generally, the draft regulations appear to implement the underpin in the manner described.</w:t>
            </w:r>
          </w:p>
        </w:tc>
      </w:tr>
      <w:tr w:rsidR="009376F5" w14:paraId="114C636D" w14:textId="77777777" w:rsidTr="009376F5">
        <w:tc>
          <w:tcPr>
            <w:tcW w:w="560" w:type="dxa"/>
          </w:tcPr>
          <w:p w14:paraId="792CF758"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5</w:t>
            </w:r>
          </w:p>
        </w:tc>
        <w:tc>
          <w:tcPr>
            <w:tcW w:w="3971" w:type="dxa"/>
          </w:tcPr>
          <w:p w14:paraId="4D19E148"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 xml:space="preserve">Do the draft regulations provide for a framework of protection which would work effectively for members, </w:t>
            </w:r>
            <w:proofErr w:type="gramStart"/>
            <w:r w:rsidRPr="009376F5">
              <w:rPr>
                <w:rFonts w:ascii="Trebuchet MS" w:hAnsi="Trebuchet MS"/>
                <w:b/>
                <w:bCs/>
                <w:sz w:val="20"/>
                <w:szCs w:val="20"/>
              </w:rPr>
              <w:t>employers</w:t>
            </w:r>
            <w:proofErr w:type="gramEnd"/>
            <w:r w:rsidRPr="009376F5">
              <w:rPr>
                <w:rFonts w:ascii="Trebuchet MS" w:hAnsi="Trebuchet MS"/>
                <w:b/>
                <w:bCs/>
                <w:sz w:val="20"/>
                <w:szCs w:val="20"/>
              </w:rPr>
              <w:t xml:space="preserve"> and administrators?</w:t>
            </w:r>
          </w:p>
        </w:tc>
        <w:tc>
          <w:tcPr>
            <w:tcW w:w="4485" w:type="dxa"/>
          </w:tcPr>
          <w:p w14:paraId="74E459CD"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We do not comment on whether the draft regulations provide protection for members and for administrators. </w:t>
            </w:r>
          </w:p>
          <w:p w14:paraId="7755F4B9" w14:textId="77777777" w:rsidR="009376F5" w:rsidRPr="009376F5" w:rsidRDefault="009376F5" w:rsidP="00E548C4">
            <w:pPr>
              <w:pStyle w:val="CMSANNormal"/>
              <w:rPr>
                <w:rFonts w:ascii="Trebuchet MS" w:hAnsi="Trebuchet MS"/>
                <w:sz w:val="20"/>
                <w:szCs w:val="20"/>
              </w:rPr>
            </w:pPr>
          </w:p>
          <w:p w14:paraId="379A42BC"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However, in our view, the draft regulations do not provide adequate protection for all employers.</w:t>
            </w:r>
          </w:p>
          <w:p w14:paraId="33FF04EF" w14:textId="77777777" w:rsidR="009376F5" w:rsidRPr="009376F5" w:rsidRDefault="009376F5" w:rsidP="00E548C4">
            <w:pPr>
              <w:pStyle w:val="CMSANNormal"/>
              <w:rPr>
                <w:rFonts w:ascii="Trebuchet MS" w:hAnsi="Trebuchet MS"/>
                <w:sz w:val="20"/>
                <w:szCs w:val="20"/>
              </w:rPr>
            </w:pPr>
          </w:p>
          <w:p w14:paraId="596D081C"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lastRenderedPageBreak/>
              <w:t xml:space="preserve">The additional costs which contractors who were required to become admission bodies under contracts with public sector contracting authorities will incur by the rectification of a position which was not of their making are likely to be material. </w:t>
            </w:r>
          </w:p>
          <w:p w14:paraId="46DCF85B" w14:textId="77777777" w:rsidR="009376F5" w:rsidRPr="009376F5" w:rsidRDefault="009376F5" w:rsidP="00E548C4">
            <w:pPr>
              <w:pStyle w:val="CMSANNormal"/>
              <w:rPr>
                <w:rFonts w:ascii="Trebuchet MS" w:hAnsi="Trebuchet MS"/>
                <w:sz w:val="20"/>
                <w:szCs w:val="20"/>
              </w:rPr>
            </w:pPr>
          </w:p>
          <w:p w14:paraId="2630A143" w14:textId="2374A519"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Contractors are incurring these costs as a consequence, in many cases, of contractual obligations being imposed on them by public sector contracting authorities as a requirement under the Local Government Act 2003</w:t>
            </w:r>
            <w:r w:rsidR="00F45DEA">
              <w:rPr>
                <w:rFonts w:ascii="Trebuchet MS" w:hAnsi="Trebuchet MS"/>
                <w:sz w:val="20"/>
                <w:szCs w:val="20"/>
              </w:rPr>
              <w:t xml:space="preserve"> </w:t>
            </w:r>
            <w:r w:rsidRPr="009376F5">
              <w:rPr>
                <w:rFonts w:ascii="Trebuchet MS" w:hAnsi="Trebuchet MS"/>
                <w:sz w:val="20"/>
                <w:szCs w:val="20"/>
              </w:rPr>
              <w:t>whereby bidding for the contract without beco</w:t>
            </w:r>
            <w:r w:rsidR="00AA38C0">
              <w:rPr>
                <w:rFonts w:ascii="Trebuchet MS" w:hAnsi="Trebuchet MS"/>
                <w:sz w:val="20"/>
                <w:szCs w:val="20"/>
              </w:rPr>
              <w:t>m</w:t>
            </w:r>
            <w:r w:rsidRPr="009376F5">
              <w:rPr>
                <w:rFonts w:ascii="Trebuchet MS" w:hAnsi="Trebuchet MS"/>
                <w:sz w:val="20"/>
                <w:szCs w:val="20"/>
              </w:rPr>
              <w:t>i</w:t>
            </w:r>
            <w:r w:rsidR="00AA38C0">
              <w:rPr>
                <w:rFonts w:ascii="Trebuchet MS" w:hAnsi="Trebuchet MS"/>
                <w:sz w:val="20"/>
                <w:szCs w:val="20"/>
              </w:rPr>
              <w:t>n</w:t>
            </w:r>
            <w:r w:rsidRPr="009376F5">
              <w:rPr>
                <w:rFonts w:ascii="Trebuchet MS" w:hAnsi="Trebuchet MS"/>
                <w:sz w:val="20"/>
                <w:szCs w:val="20"/>
              </w:rPr>
              <w:t>g an admission body would have been a non-compliant bid.</w:t>
            </w:r>
          </w:p>
          <w:p w14:paraId="32A757E4" w14:textId="77777777" w:rsidR="009376F5" w:rsidRPr="009376F5" w:rsidRDefault="009376F5" w:rsidP="00E548C4">
            <w:pPr>
              <w:pStyle w:val="CMSANNormal"/>
              <w:rPr>
                <w:rFonts w:ascii="Trebuchet MS" w:hAnsi="Trebuchet MS"/>
                <w:sz w:val="20"/>
                <w:szCs w:val="20"/>
              </w:rPr>
            </w:pPr>
          </w:p>
          <w:p w14:paraId="58E3836B"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This imposition of additional costs, which were never disclosed by the public authority at the time of entering into the contract, is contrary to the public policy of obtaining the best value from contractors and, to maintain the value and protect contractors from a position which is not of their making. </w:t>
            </w:r>
          </w:p>
          <w:p w14:paraId="2B35858D" w14:textId="77777777" w:rsidR="009376F5" w:rsidRPr="009376F5" w:rsidRDefault="009376F5" w:rsidP="00E548C4">
            <w:pPr>
              <w:pStyle w:val="CMSANNormal"/>
              <w:rPr>
                <w:rFonts w:ascii="Trebuchet MS" w:hAnsi="Trebuchet MS"/>
                <w:sz w:val="20"/>
                <w:szCs w:val="20"/>
              </w:rPr>
            </w:pPr>
          </w:p>
          <w:p w14:paraId="3F51385B"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In some cases, the contracts may have protections for contractors – whether by capped or fixed contribution rates,  passthrough or, less commonly, indemnities or guarantees from the contracting authority – but in many cases, the additional costs will impact materially on the viability of the contracts for those contractors who entered into the contract with the public sector contracting authority in good faith.</w:t>
            </w:r>
          </w:p>
          <w:p w14:paraId="29EBD580" w14:textId="77777777" w:rsidR="009376F5" w:rsidRPr="009376F5" w:rsidRDefault="009376F5" w:rsidP="00E548C4">
            <w:pPr>
              <w:pStyle w:val="CMSANNormal"/>
              <w:rPr>
                <w:rFonts w:ascii="Trebuchet MS" w:hAnsi="Trebuchet MS"/>
                <w:sz w:val="20"/>
                <w:szCs w:val="20"/>
              </w:rPr>
            </w:pPr>
          </w:p>
          <w:p w14:paraId="576A4C31"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Our view is that the reforms should be accompanied by some form of protection for affected contractors. An example would be the inclusion of statutory pass-through in the new regulations or a Ministerial Direction for pass-through to ensure that these additional, </w:t>
            </w:r>
            <w:r w:rsidRPr="009376F5">
              <w:rPr>
                <w:rFonts w:ascii="Trebuchet MS" w:hAnsi="Trebuchet MS"/>
                <w:sz w:val="20"/>
                <w:szCs w:val="20"/>
              </w:rPr>
              <w:lastRenderedPageBreak/>
              <w:t>material costs fall where they should lie – with the contracting public authorities.</w:t>
            </w:r>
          </w:p>
          <w:p w14:paraId="23F9D296" w14:textId="77777777" w:rsidR="009376F5" w:rsidRPr="009376F5" w:rsidRDefault="009376F5" w:rsidP="00E548C4">
            <w:pPr>
              <w:pStyle w:val="CMSANNormal"/>
              <w:rPr>
                <w:rFonts w:ascii="Trebuchet MS" w:hAnsi="Trebuchet MS"/>
                <w:sz w:val="20"/>
                <w:szCs w:val="20"/>
              </w:rPr>
            </w:pPr>
          </w:p>
          <w:p w14:paraId="421095B7"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Such pass-through arrangements could be total or partial aimed at the additional costs imposed by compliance with McCloud or </w:t>
            </w:r>
            <w:proofErr w:type="spellStart"/>
            <w:r w:rsidRPr="009376F5">
              <w:rPr>
                <w:rFonts w:ascii="Trebuchet MS" w:hAnsi="Trebuchet MS"/>
                <w:sz w:val="20"/>
                <w:szCs w:val="20"/>
              </w:rPr>
              <w:t>Sargeant</w:t>
            </w:r>
            <w:proofErr w:type="spellEnd"/>
            <w:r w:rsidRPr="009376F5">
              <w:rPr>
                <w:rFonts w:ascii="Trebuchet MS" w:hAnsi="Trebuchet MS"/>
                <w:sz w:val="20"/>
                <w:szCs w:val="20"/>
              </w:rPr>
              <w:t xml:space="preserve"> (although this would impose an additional burden on administrators to identify these costs) and be achieved by directed contractual variation or statutory overrides.</w:t>
            </w:r>
          </w:p>
        </w:tc>
      </w:tr>
      <w:tr w:rsidR="009376F5" w14:paraId="759EB738" w14:textId="77777777" w:rsidTr="009376F5">
        <w:tc>
          <w:tcPr>
            <w:tcW w:w="560" w:type="dxa"/>
          </w:tcPr>
          <w:p w14:paraId="3A8F0D30"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lastRenderedPageBreak/>
              <w:t>6</w:t>
            </w:r>
          </w:p>
        </w:tc>
        <w:tc>
          <w:tcPr>
            <w:tcW w:w="3971" w:type="dxa"/>
          </w:tcPr>
          <w:p w14:paraId="1CF9B3F2"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have other comments on technical matters related to the draft regulations?</w:t>
            </w:r>
          </w:p>
        </w:tc>
        <w:tc>
          <w:tcPr>
            <w:tcW w:w="4485" w:type="dxa"/>
          </w:tcPr>
          <w:p w14:paraId="327905A9"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As set out above, our view is that the Regulations should provide protection for contractors who have </w:t>
            </w:r>
            <w:proofErr w:type="gramStart"/>
            <w:r w:rsidRPr="009376F5">
              <w:rPr>
                <w:rFonts w:ascii="Trebuchet MS" w:hAnsi="Trebuchet MS"/>
                <w:sz w:val="20"/>
                <w:szCs w:val="20"/>
              </w:rPr>
              <w:t>entered into</w:t>
            </w:r>
            <w:proofErr w:type="gramEnd"/>
            <w:r w:rsidRPr="009376F5">
              <w:rPr>
                <w:rFonts w:ascii="Trebuchet MS" w:hAnsi="Trebuchet MS"/>
                <w:sz w:val="20"/>
                <w:szCs w:val="20"/>
              </w:rPr>
              <w:t xml:space="preserve"> arrangements with contracting public authorities without disclosure of the additional costs which could place such contractors in financial jeopardy. </w:t>
            </w:r>
          </w:p>
          <w:p w14:paraId="67DAE774" w14:textId="77777777" w:rsidR="009376F5" w:rsidRPr="009376F5" w:rsidRDefault="009376F5" w:rsidP="00E548C4">
            <w:pPr>
              <w:pStyle w:val="CMSANNormal"/>
              <w:rPr>
                <w:rFonts w:ascii="Trebuchet MS" w:hAnsi="Trebuchet MS"/>
                <w:sz w:val="20"/>
                <w:szCs w:val="20"/>
              </w:rPr>
            </w:pPr>
          </w:p>
          <w:p w14:paraId="53EE3CC8" w14:textId="53C1E06A"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Those additional costs are likely to be material for contractors </w:t>
            </w:r>
            <w:r w:rsidR="00BB7732">
              <w:rPr>
                <w:rFonts w:ascii="Trebuchet MS" w:hAnsi="Trebuchet MS"/>
                <w:sz w:val="20"/>
                <w:szCs w:val="20"/>
              </w:rPr>
              <w:t>potentially making</w:t>
            </w:r>
            <w:r w:rsidRPr="009376F5">
              <w:rPr>
                <w:rFonts w:ascii="Trebuchet MS" w:hAnsi="Trebuchet MS"/>
                <w:sz w:val="20"/>
                <w:szCs w:val="20"/>
              </w:rPr>
              <w:t xml:space="preserve"> existing contracts and tendering for new contracts uneconomic</w:t>
            </w:r>
            <w:r w:rsidR="00DB0D40">
              <w:rPr>
                <w:rFonts w:ascii="Trebuchet MS" w:hAnsi="Trebuchet MS"/>
                <w:sz w:val="20"/>
                <w:szCs w:val="20"/>
              </w:rPr>
              <w:t xml:space="preserve"> </w:t>
            </w:r>
            <w:r w:rsidR="00BB7732">
              <w:rPr>
                <w:rFonts w:ascii="Trebuchet MS" w:hAnsi="Trebuchet MS"/>
                <w:sz w:val="20"/>
                <w:szCs w:val="20"/>
              </w:rPr>
              <w:t>which in turn would have wider financial implications for contractors</w:t>
            </w:r>
            <w:r w:rsidR="00DB0D40">
              <w:rPr>
                <w:rFonts w:ascii="Trebuchet MS" w:hAnsi="Trebuchet MS"/>
                <w:sz w:val="20"/>
                <w:szCs w:val="20"/>
              </w:rPr>
              <w:t>.</w:t>
            </w:r>
          </w:p>
        </w:tc>
      </w:tr>
      <w:tr w:rsidR="009376F5" w14:paraId="3DD2659F" w14:textId="77777777" w:rsidTr="009376F5">
        <w:tc>
          <w:tcPr>
            <w:tcW w:w="560" w:type="dxa"/>
          </w:tcPr>
          <w:p w14:paraId="64E7D521"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7</w:t>
            </w:r>
          </w:p>
        </w:tc>
        <w:tc>
          <w:tcPr>
            <w:tcW w:w="3971" w:type="dxa"/>
          </w:tcPr>
          <w:p w14:paraId="2CE84182"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agree that members should not need to have an immediate entitlement to a pension at the date they leave the scheme for underpin protection to apply?</w:t>
            </w:r>
          </w:p>
        </w:tc>
        <w:tc>
          <w:tcPr>
            <w:tcW w:w="4485" w:type="dxa"/>
          </w:tcPr>
          <w:p w14:paraId="6525EEFE"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As the MHCLG point out in the consultation, the preservation laws require that short service benefits should not be different to long service benefits. Consequently, where members have preserved short service benefits then, in order to ensure that the entitlement is not lower than they would have had with the underpin on retirement, the underpin should be applied to those preserved benefits.</w:t>
            </w:r>
          </w:p>
          <w:p w14:paraId="7B4E6D26" w14:textId="77777777" w:rsidR="009376F5" w:rsidRPr="009376F5" w:rsidRDefault="009376F5" w:rsidP="00E548C4">
            <w:pPr>
              <w:pStyle w:val="CMSANNormal"/>
              <w:rPr>
                <w:rFonts w:ascii="Trebuchet MS" w:hAnsi="Trebuchet MS"/>
                <w:sz w:val="20"/>
                <w:szCs w:val="20"/>
              </w:rPr>
            </w:pPr>
          </w:p>
          <w:p w14:paraId="0ABE33B5"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We have not considered the matter in detail but question whether this raises any “uniform accrual” issues for any members with residual “rule of 85” entitlements.</w:t>
            </w:r>
          </w:p>
        </w:tc>
      </w:tr>
      <w:tr w:rsidR="009376F5" w14:paraId="4452AB1E" w14:textId="77777777" w:rsidTr="009376F5">
        <w:tc>
          <w:tcPr>
            <w:tcW w:w="560" w:type="dxa"/>
          </w:tcPr>
          <w:p w14:paraId="17A9BF5C"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9</w:t>
            </w:r>
          </w:p>
        </w:tc>
        <w:tc>
          <w:tcPr>
            <w:tcW w:w="3971" w:type="dxa"/>
          </w:tcPr>
          <w:p w14:paraId="661EDF72"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agree that members should meet the underpin qualifying criteria in a single scheme membership for underpin protection to apply?</w:t>
            </w:r>
          </w:p>
        </w:tc>
        <w:tc>
          <w:tcPr>
            <w:tcW w:w="4485" w:type="dxa"/>
          </w:tcPr>
          <w:p w14:paraId="496F0D01"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In theory, the practice is sensible. However, in practice, the proposal could lead to certain members being disadvantaged – for example </w:t>
            </w:r>
            <w:r w:rsidRPr="009376F5">
              <w:rPr>
                <w:rFonts w:ascii="Trebuchet MS" w:hAnsi="Trebuchet MS"/>
                <w:sz w:val="20"/>
                <w:szCs w:val="20"/>
              </w:rPr>
              <w:lastRenderedPageBreak/>
              <w:t>certain deferred members for whom current addresses are not available.</w:t>
            </w:r>
          </w:p>
        </w:tc>
      </w:tr>
      <w:tr w:rsidR="009376F5" w14:paraId="532B213B" w14:textId="77777777" w:rsidTr="009376F5">
        <w:tc>
          <w:tcPr>
            <w:tcW w:w="560" w:type="dxa"/>
          </w:tcPr>
          <w:p w14:paraId="327B69E0"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lastRenderedPageBreak/>
              <w:t>10</w:t>
            </w:r>
          </w:p>
        </w:tc>
        <w:tc>
          <w:tcPr>
            <w:tcW w:w="3971" w:type="dxa"/>
          </w:tcPr>
          <w:p w14:paraId="43999742"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 xml:space="preserve">Do you agree with our proposal that certain active and deferred members should have an additional </w:t>
            </w:r>
            <w:proofErr w:type="gramStart"/>
            <w:r w:rsidRPr="009376F5">
              <w:rPr>
                <w:rFonts w:ascii="Trebuchet MS" w:hAnsi="Trebuchet MS"/>
                <w:b/>
                <w:bCs/>
                <w:sz w:val="20"/>
                <w:szCs w:val="20"/>
              </w:rPr>
              <w:t>12 month</w:t>
            </w:r>
            <w:proofErr w:type="gramEnd"/>
            <w:r w:rsidRPr="009376F5">
              <w:rPr>
                <w:rFonts w:ascii="Trebuchet MS" w:hAnsi="Trebuchet MS"/>
                <w:b/>
                <w:bCs/>
                <w:sz w:val="20"/>
                <w:szCs w:val="20"/>
              </w:rPr>
              <w:t xml:space="preserve"> period to decide to aggregate previous LGPS benefits as a consequence of the proposed changes?</w:t>
            </w:r>
          </w:p>
        </w:tc>
        <w:tc>
          <w:tcPr>
            <w:tcW w:w="4485" w:type="dxa"/>
          </w:tcPr>
          <w:p w14:paraId="764C937E"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We agree with the principle of certain members being given an extra </w:t>
            </w:r>
            <w:proofErr w:type="gramStart"/>
            <w:r w:rsidRPr="009376F5">
              <w:rPr>
                <w:rFonts w:ascii="Trebuchet MS" w:hAnsi="Trebuchet MS"/>
                <w:sz w:val="20"/>
                <w:szCs w:val="20"/>
              </w:rPr>
              <w:t>12 month</w:t>
            </w:r>
            <w:proofErr w:type="gramEnd"/>
            <w:r w:rsidRPr="009376F5">
              <w:rPr>
                <w:rFonts w:ascii="Trebuchet MS" w:hAnsi="Trebuchet MS"/>
                <w:sz w:val="20"/>
                <w:szCs w:val="20"/>
              </w:rPr>
              <w:t xml:space="preserve"> period to aggregate.</w:t>
            </w:r>
          </w:p>
          <w:p w14:paraId="72C344C7" w14:textId="77777777" w:rsidR="009376F5" w:rsidRPr="009376F5" w:rsidRDefault="009376F5" w:rsidP="00E548C4">
            <w:pPr>
              <w:pStyle w:val="CMSANNormal"/>
              <w:rPr>
                <w:rFonts w:ascii="Trebuchet MS" w:hAnsi="Trebuchet MS"/>
                <w:sz w:val="20"/>
                <w:szCs w:val="20"/>
              </w:rPr>
            </w:pPr>
          </w:p>
          <w:p w14:paraId="483277CF"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However, </w:t>
            </w:r>
            <w:proofErr w:type="gramStart"/>
            <w:r w:rsidRPr="009376F5">
              <w:rPr>
                <w:rFonts w:ascii="Trebuchet MS" w:hAnsi="Trebuchet MS"/>
                <w:sz w:val="20"/>
                <w:szCs w:val="20"/>
              </w:rPr>
              <w:t>in order to</w:t>
            </w:r>
            <w:proofErr w:type="gramEnd"/>
            <w:r w:rsidRPr="009376F5">
              <w:rPr>
                <w:rFonts w:ascii="Trebuchet MS" w:hAnsi="Trebuchet MS"/>
                <w:sz w:val="20"/>
                <w:szCs w:val="20"/>
              </w:rPr>
              <w:t xml:space="preserve"> protect vulnerable or untraceable members, we suggest that the protection has caveats whereby it can be extended in certain exceptional circumstances.</w:t>
            </w:r>
          </w:p>
        </w:tc>
      </w:tr>
      <w:tr w:rsidR="009376F5" w14:paraId="108F5A4A" w14:textId="77777777" w:rsidTr="009376F5">
        <w:tc>
          <w:tcPr>
            <w:tcW w:w="560" w:type="dxa"/>
          </w:tcPr>
          <w:p w14:paraId="38A6B6E4"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11</w:t>
            </w:r>
          </w:p>
        </w:tc>
        <w:tc>
          <w:tcPr>
            <w:tcW w:w="3971" w:type="dxa"/>
          </w:tcPr>
          <w:p w14:paraId="6EC3163A"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consider that the proposals outlined in paragraphs 50 to 52 would have ‘significant adverse effects’ in relation to the pension payable to or in respect of affected members, as described in section 23 of the Public Service Pensions Act 2013?</w:t>
            </w:r>
          </w:p>
        </w:tc>
        <w:tc>
          <w:tcPr>
            <w:tcW w:w="4485" w:type="dxa"/>
          </w:tcPr>
          <w:p w14:paraId="4D38A143"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The key to the process is, as set out in the consultation, effective member communications although we would encourage the adoption of protections in exceptional circumstances – perhaps at the discretion of the Secretary of State – to ensure that the rights of vulnerable members or those members who, for legitimate reasons, are left out of the communications exercise are protected.</w:t>
            </w:r>
          </w:p>
        </w:tc>
      </w:tr>
      <w:tr w:rsidR="009376F5" w14:paraId="7B9DF193" w14:textId="77777777" w:rsidTr="009376F5">
        <w:tc>
          <w:tcPr>
            <w:tcW w:w="560" w:type="dxa"/>
          </w:tcPr>
          <w:p w14:paraId="72F9E8D6"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18</w:t>
            </w:r>
          </w:p>
        </w:tc>
        <w:tc>
          <w:tcPr>
            <w:tcW w:w="3971" w:type="dxa"/>
          </w:tcPr>
          <w:p w14:paraId="78664230"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have any comments on the potential issue identified in paragraph 110?</w:t>
            </w:r>
          </w:p>
        </w:tc>
        <w:tc>
          <w:tcPr>
            <w:tcW w:w="4485" w:type="dxa"/>
          </w:tcPr>
          <w:p w14:paraId="060633BC"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The annual allowance is a very real issue in the public sector following the reduction in the allowance and the implementation of taper relief.</w:t>
            </w:r>
          </w:p>
          <w:p w14:paraId="36FB765C" w14:textId="77777777" w:rsidR="009376F5" w:rsidRPr="009376F5" w:rsidRDefault="009376F5" w:rsidP="00E548C4">
            <w:pPr>
              <w:pStyle w:val="CMSANNormal"/>
              <w:rPr>
                <w:rFonts w:ascii="Trebuchet MS" w:hAnsi="Trebuchet MS"/>
                <w:sz w:val="20"/>
                <w:szCs w:val="20"/>
              </w:rPr>
            </w:pPr>
          </w:p>
          <w:p w14:paraId="67F870B3"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In many cases, members will not have issues with the annual allowance although high earners who seek flexible retirement may have issues if they seek to provide pension elsewhere during the flexible retirement period.</w:t>
            </w:r>
          </w:p>
          <w:p w14:paraId="41087598" w14:textId="77777777" w:rsidR="009376F5" w:rsidRPr="009376F5" w:rsidRDefault="009376F5" w:rsidP="00E548C4">
            <w:pPr>
              <w:pStyle w:val="CMSANNormal"/>
              <w:rPr>
                <w:rFonts w:ascii="Trebuchet MS" w:hAnsi="Trebuchet MS"/>
                <w:sz w:val="20"/>
                <w:szCs w:val="20"/>
              </w:rPr>
            </w:pPr>
          </w:p>
          <w:p w14:paraId="7C9417A4" w14:textId="7509F352"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The issue is likely to be most pertinent for those who have an underpin and who, as identified by MHCLG, receive large promotional increases over time. For those caught in the taper relief bandings, the marginal rates of tax payable can be penal and we would encourage some form of additional </w:t>
            </w:r>
            <w:r w:rsidRPr="009376F5">
              <w:rPr>
                <w:rFonts w:ascii="Trebuchet MS" w:hAnsi="Trebuchet MS"/>
                <w:sz w:val="20"/>
                <w:szCs w:val="20"/>
              </w:rPr>
              <w:lastRenderedPageBreak/>
              <w:t xml:space="preserve">relief to be available to these members </w:t>
            </w:r>
            <w:proofErr w:type="gramStart"/>
            <w:r w:rsidRPr="009376F5">
              <w:rPr>
                <w:rFonts w:ascii="Trebuchet MS" w:hAnsi="Trebuchet MS"/>
                <w:sz w:val="20"/>
                <w:szCs w:val="20"/>
              </w:rPr>
              <w:t>similar to</w:t>
            </w:r>
            <w:proofErr w:type="gramEnd"/>
            <w:r w:rsidRPr="009376F5">
              <w:rPr>
                <w:rFonts w:ascii="Trebuchet MS" w:hAnsi="Trebuchet MS"/>
                <w:sz w:val="20"/>
                <w:szCs w:val="20"/>
              </w:rPr>
              <w:t xml:space="preserve"> NHS Pension Scheme members.</w:t>
            </w:r>
          </w:p>
          <w:p w14:paraId="585BDD19" w14:textId="77777777" w:rsidR="009376F5" w:rsidRPr="009376F5" w:rsidRDefault="009376F5" w:rsidP="00E548C4">
            <w:pPr>
              <w:pStyle w:val="CMSANNormal"/>
              <w:rPr>
                <w:rFonts w:ascii="Trebuchet MS" w:hAnsi="Trebuchet MS"/>
                <w:sz w:val="20"/>
                <w:szCs w:val="20"/>
              </w:rPr>
            </w:pPr>
          </w:p>
          <w:p w14:paraId="573DDEEC"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For individual members who may have taken some protections against the Lifetime Allowance charge, the approach could be prejudicing those protections and, again, we would encourage some form of additional protections for these individuals.</w:t>
            </w:r>
          </w:p>
        </w:tc>
      </w:tr>
      <w:tr w:rsidR="009376F5" w14:paraId="13414AC3" w14:textId="77777777" w:rsidTr="009376F5">
        <w:tc>
          <w:tcPr>
            <w:tcW w:w="560" w:type="dxa"/>
          </w:tcPr>
          <w:p w14:paraId="290FAF65"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lastRenderedPageBreak/>
              <w:t>26</w:t>
            </w:r>
          </w:p>
        </w:tc>
        <w:tc>
          <w:tcPr>
            <w:tcW w:w="3971" w:type="dxa"/>
          </w:tcPr>
          <w:p w14:paraId="59C885DD"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Are there material ways in which the proposals could be simplified to ease the impacts on employers, software systems and scheme administrators?</w:t>
            </w:r>
          </w:p>
        </w:tc>
        <w:tc>
          <w:tcPr>
            <w:tcW w:w="4485" w:type="dxa"/>
          </w:tcPr>
          <w:p w14:paraId="7CC456C2"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As set out earlier, our view is that some form of statutory pass-through or Ministerially directed pass-through should be incorporated to protect those admission bodies who do not have the relevant contractual protections in place.</w:t>
            </w:r>
          </w:p>
        </w:tc>
      </w:tr>
      <w:tr w:rsidR="009376F5" w14:paraId="30D188AA" w14:textId="77777777" w:rsidTr="009376F5">
        <w:tc>
          <w:tcPr>
            <w:tcW w:w="560" w:type="dxa"/>
          </w:tcPr>
          <w:p w14:paraId="040FF015" w14:textId="77777777" w:rsidR="009376F5" w:rsidRPr="009376F5" w:rsidRDefault="009376F5" w:rsidP="00E548C4">
            <w:pPr>
              <w:pStyle w:val="CMSANNormal"/>
              <w:jc w:val="center"/>
              <w:rPr>
                <w:rFonts w:ascii="Trebuchet MS" w:hAnsi="Trebuchet MS"/>
                <w:b/>
                <w:bCs/>
                <w:sz w:val="20"/>
                <w:szCs w:val="20"/>
              </w:rPr>
            </w:pPr>
            <w:r w:rsidRPr="009376F5">
              <w:rPr>
                <w:rFonts w:ascii="Trebuchet MS" w:hAnsi="Trebuchet MS"/>
                <w:b/>
                <w:bCs/>
                <w:sz w:val="20"/>
                <w:szCs w:val="20"/>
              </w:rPr>
              <w:t>29</w:t>
            </w:r>
          </w:p>
        </w:tc>
        <w:tc>
          <w:tcPr>
            <w:tcW w:w="3971" w:type="dxa"/>
          </w:tcPr>
          <w:p w14:paraId="727A14B7" w14:textId="77777777" w:rsidR="009376F5" w:rsidRPr="009376F5" w:rsidRDefault="009376F5" w:rsidP="00E548C4">
            <w:pPr>
              <w:pStyle w:val="CMSANNormal"/>
              <w:rPr>
                <w:rFonts w:ascii="Trebuchet MS" w:hAnsi="Trebuchet MS"/>
                <w:b/>
                <w:bCs/>
                <w:sz w:val="20"/>
                <w:szCs w:val="20"/>
              </w:rPr>
            </w:pPr>
            <w:r w:rsidRPr="009376F5">
              <w:rPr>
                <w:rFonts w:ascii="Trebuchet MS" w:hAnsi="Trebuchet MS"/>
                <w:b/>
                <w:bCs/>
                <w:sz w:val="20"/>
                <w:szCs w:val="20"/>
              </w:rPr>
              <w:t>Do you have any comments regarding the potential costs of McCloud remedy, and steps that should be taken to prevent increased costs being passed to local taxpayers?</w:t>
            </w:r>
          </w:p>
        </w:tc>
        <w:tc>
          <w:tcPr>
            <w:tcW w:w="4485" w:type="dxa"/>
          </w:tcPr>
          <w:p w14:paraId="5079AE6F"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As set out earlier, we have concerns on the additional material costs which will, under the current proposals, be imposed on contractors contracting with relevant contracting public authorities.</w:t>
            </w:r>
          </w:p>
          <w:p w14:paraId="6725BF33" w14:textId="77777777" w:rsidR="009376F5" w:rsidRPr="009376F5" w:rsidRDefault="009376F5" w:rsidP="00E548C4">
            <w:pPr>
              <w:pStyle w:val="CMSANNormal"/>
              <w:rPr>
                <w:rFonts w:ascii="Trebuchet MS" w:hAnsi="Trebuchet MS"/>
                <w:sz w:val="20"/>
                <w:szCs w:val="20"/>
              </w:rPr>
            </w:pPr>
          </w:p>
          <w:p w14:paraId="2E24F06E"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The additional costs which contractors will incur by the rectification of a position which was not of their making are likely to be material. Contractors are incurring these costs </w:t>
            </w:r>
            <w:proofErr w:type="gramStart"/>
            <w:r w:rsidRPr="009376F5">
              <w:rPr>
                <w:rFonts w:ascii="Trebuchet MS" w:hAnsi="Trebuchet MS"/>
                <w:sz w:val="20"/>
                <w:szCs w:val="20"/>
              </w:rPr>
              <w:t>as a consequence</w:t>
            </w:r>
            <w:proofErr w:type="gramEnd"/>
            <w:r w:rsidRPr="009376F5">
              <w:rPr>
                <w:rFonts w:ascii="Trebuchet MS" w:hAnsi="Trebuchet MS"/>
                <w:sz w:val="20"/>
                <w:szCs w:val="20"/>
              </w:rPr>
              <w:t>, in many cases, of contractual obligations being imposed on them by public sector contracting authorities.</w:t>
            </w:r>
          </w:p>
          <w:p w14:paraId="5A286AD3" w14:textId="77777777" w:rsidR="009376F5" w:rsidRPr="009376F5" w:rsidRDefault="009376F5" w:rsidP="00E548C4">
            <w:pPr>
              <w:pStyle w:val="CMSANNormal"/>
              <w:rPr>
                <w:rFonts w:ascii="Trebuchet MS" w:hAnsi="Trebuchet MS"/>
                <w:sz w:val="20"/>
                <w:szCs w:val="20"/>
              </w:rPr>
            </w:pPr>
          </w:p>
          <w:p w14:paraId="5B9709B3"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In some cases, the contracts may have protections for contractors – whether by capped contribution rates or passthrough – but in many cases, the additional costs will impact materially on the viability of the contracts for those contractors who entered into the contract with the public sector contracting authority in good faith.</w:t>
            </w:r>
          </w:p>
          <w:p w14:paraId="4C5C0B31" w14:textId="77777777" w:rsidR="009376F5" w:rsidRPr="009376F5" w:rsidRDefault="009376F5" w:rsidP="00E548C4">
            <w:pPr>
              <w:pStyle w:val="CMSANNormal"/>
              <w:rPr>
                <w:rFonts w:ascii="Trebuchet MS" w:hAnsi="Trebuchet MS"/>
                <w:sz w:val="20"/>
                <w:szCs w:val="20"/>
              </w:rPr>
            </w:pPr>
          </w:p>
          <w:p w14:paraId="0226379D"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 xml:space="preserve">This imposition of additional costs is contrary to the public policy of obtaining the best value from contractors and to maintain the value </w:t>
            </w:r>
            <w:r w:rsidRPr="009376F5">
              <w:rPr>
                <w:rFonts w:ascii="Trebuchet MS" w:hAnsi="Trebuchet MS"/>
                <w:sz w:val="20"/>
                <w:szCs w:val="20"/>
              </w:rPr>
              <w:lastRenderedPageBreak/>
              <w:t>and protect contractors from a position which is not of their making, our view is that the reforms should be accompanied by some form of statutory pass-through to ensure that these additional,, material costs fall where they should lie – with the contracting public authority.</w:t>
            </w:r>
          </w:p>
          <w:p w14:paraId="0F30293A" w14:textId="77777777" w:rsidR="009376F5" w:rsidRPr="009376F5" w:rsidRDefault="009376F5" w:rsidP="00E548C4">
            <w:pPr>
              <w:pStyle w:val="CMSANNormal"/>
              <w:rPr>
                <w:rFonts w:ascii="Trebuchet MS" w:hAnsi="Trebuchet MS"/>
                <w:sz w:val="20"/>
                <w:szCs w:val="20"/>
              </w:rPr>
            </w:pPr>
          </w:p>
          <w:p w14:paraId="45AA4979" w14:textId="77777777" w:rsidR="009376F5" w:rsidRPr="009376F5" w:rsidRDefault="009376F5" w:rsidP="00E548C4">
            <w:pPr>
              <w:pStyle w:val="CMSANNormal"/>
              <w:rPr>
                <w:rFonts w:ascii="Trebuchet MS" w:hAnsi="Trebuchet MS"/>
                <w:sz w:val="20"/>
                <w:szCs w:val="20"/>
              </w:rPr>
            </w:pPr>
            <w:r w:rsidRPr="009376F5">
              <w:rPr>
                <w:rFonts w:ascii="Trebuchet MS" w:hAnsi="Trebuchet MS"/>
                <w:sz w:val="20"/>
                <w:szCs w:val="20"/>
              </w:rPr>
              <w:t>Failure to obtain best value from their contracts will have a direct impact on local taxpayers through the public contracting authorities’ failures to protect those local taxpayers by obtaining the best value contracts in terms of delivery as well as cost.</w:t>
            </w:r>
          </w:p>
        </w:tc>
      </w:tr>
    </w:tbl>
    <w:p w14:paraId="2126E320" w14:textId="48B1C384" w:rsidR="00F45DEA" w:rsidRDefault="00F45DEA" w:rsidP="009376F5">
      <w:pPr>
        <w:jc w:val="center"/>
        <w:rPr>
          <w:b/>
          <w:bCs/>
        </w:rPr>
      </w:pPr>
    </w:p>
    <w:p w14:paraId="66A66E3A" w14:textId="77777777" w:rsidR="00F45DEA" w:rsidRDefault="00F45DEA">
      <w:pPr>
        <w:rPr>
          <w:b/>
          <w:bCs/>
        </w:rPr>
      </w:pPr>
      <w:r>
        <w:rPr>
          <w:b/>
          <w:bCs/>
        </w:rPr>
        <w:br w:type="page"/>
      </w:r>
    </w:p>
    <w:p w14:paraId="00E5A4D0" w14:textId="77777777" w:rsidR="00F45DEA" w:rsidRDefault="00F45DEA" w:rsidP="00F45DEA">
      <w:pPr>
        <w:rPr>
          <w:b/>
          <w:bCs/>
        </w:rPr>
      </w:pPr>
      <w:r w:rsidRPr="00F45DEA">
        <w:rPr>
          <w:b/>
          <w:bCs/>
        </w:rPr>
        <w:lastRenderedPageBreak/>
        <w:t>Annex 1.</w:t>
      </w:r>
      <w:r>
        <w:rPr>
          <w:b/>
          <w:bCs/>
        </w:rPr>
        <w:t xml:space="preserve"> </w:t>
      </w:r>
    </w:p>
    <w:p w14:paraId="1681F2D4" w14:textId="04F05DFD" w:rsidR="00F45DEA" w:rsidRDefault="00F45DEA" w:rsidP="00F45DEA">
      <w:pPr>
        <w:jc w:val="center"/>
        <w:rPr>
          <w:rFonts w:eastAsia="Calibri" w:cs="Univers 55"/>
          <w:b/>
        </w:rPr>
      </w:pPr>
      <w:r w:rsidRPr="00001754">
        <w:rPr>
          <w:rFonts w:eastAsia="Calibri" w:cs="Univers 55"/>
          <w:b/>
        </w:rPr>
        <w:t xml:space="preserve">List of BSA Members, </w:t>
      </w:r>
      <w:r>
        <w:rPr>
          <w:rFonts w:eastAsia="Calibri" w:cs="Univers 55"/>
          <w:b/>
        </w:rPr>
        <w:t>October</w:t>
      </w:r>
      <w:r w:rsidRPr="00001754">
        <w:rPr>
          <w:rFonts w:eastAsia="Calibri" w:cs="Univers 55"/>
          <w:b/>
        </w:rPr>
        <w:t xml:space="preserve"> 2020</w:t>
      </w:r>
    </w:p>
    <w:p w14:paraId="14525CA6" w14:textId="77777777" w:rsidR="00F45DEA" w:rsidRPr="00F45DEA" w:rsidRDefault="00F45DEA" w:rsidP="00F45DEA">
      <w:pPr>
        <w:jc w:val="center"/>
        <w:rPr>
          <w:b/>
          <w:bCs/>
        </w:rPr>
      </w:pPr>
    </w:p>
    <w:tbl>
      <w:tblPr>
        <w:tblStyle w:val="TableGrid"/>
        <w:tblW w:w="102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tblGrid>
      <w:tr w:rsidR="00F45DEA" w:rsidRPr="00001754" w14:paraId="299DC7E5" w14:textId="77777777" w:rsidTr="00E548C4">
        <w:tc>
          <w:tcPr>
            <w:tcW w:w="10247" w:type="dxa"/>
          </w:tcPr>
          <w:tbl>
            <w:tblPr>
              <w:tblStyle w:val="TableGrid"/>
              <w:tblW w:w="99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1"/>
            </w:tblGrid>
            <w:tr w:rsidR="00F45DEA" w:rsidRPr="00F45DEA" w14:paraId="6B33A0CF" w14:textId="77777777" w:rsidTr="00E548C4">
              <w:trPr>
                <w:trHeight w:val="9417"/>
              </w:trPr>
              <w:tc>
                <w:tcPr>
                  <w:tcW w:w="4990" w:type="dxa"/>
                  <w:hideMark/>
                </w:tcPr>
                <w:p w14:paraId="124D766D"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3C3 Ltd </w:t>
                  </w:r>
                </w:p>
                <w:p w14:paraId="40C4EB0B"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3SC </w:t>
                  </w:r>
                </w:p>
                <w:p w14:paraId="5D79EEB8"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Accenture</w:t>
                  </w:r>
                </w:p>
                <w:p w14:paraId="29C7EE00"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AECOM</w:t>
                  </w:r>
                </w:p>
                <w:p w14:paraId="760231B7"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Amey Plc </w:t>
                  </w:r>
                </w:p>
                <w:p w14:paraId="4D3A30C4"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Aramark</w:t>
                  </w:r>
                </w:p>
                <w:p w14:paraId="4C6DAFA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Atkins </w:t>
                  </w:r>
                </w:p>
                <w:p w14:paraId="26F7D14A"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Atos</w:t>
                  </w:r>
                </w:p>
                <w:p w14:paraId="0C24CBE4" w14:textId="77777777" w:rsidR="00F45DEA" w:rsidRPr="00F45DEA" w:rsidRDefault="00F45DEA" w:rsidP="00F45DEA">
                  <w:pPr>
                    <w:pStyle w:val="NoSpacing"/>
                    <w:rPr>
                      <w:rFonts w:ascii="Trebuchet MS" w:eastAsia="Calibri" w:hAnsi="Trebuchet MS"/>
                      <w:sz w:val="20"/>
                    </w:rPr>
                  </w:pPr>
                  <w:proofErr w:type="spellStart"/>
                  <w:r w:rsidRPr="00F45DEA">
                    <w:rPr>
                      <w:rFonts w:ascii="Trebuchet MS" w:eastAsia="Calibri" w:hAnsi="Trebuchet MS"/>
                      <w:sz w:val="20"/>
                    </w:rPr>
                    <w:t>Baachu</w:t>
                  </w:r>
                  <w:proofErr w:type="spellEnd"/>
                </w:p>
                <w:p w14:paraId="7AAEB2A8"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Balfour Beatty Plc</w:t>
                  </w:r>
                </w:p>
                <w:p w14:paraId="1B08C627"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BAE Systems </w:t>
                  </w:r>
                </w:p>
                <w:p w14:paraId="3AA68808"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Barclays Corporate</w:t>
                  </w:r>
                </w:p>
                <w:p w14:paraId="21BD67C9" w14:textId="77777777" w:rsidR="00F45DEA" w:rsidRPr="00F45DEA" w:rsidRDefault="00F45DEA" w:rsidP="00F45DEA">
                  <w:pPr>
                    <w:pStyle w:val="NoSpacing"/>
                    <w:rPr>
                      <w:rFonts w:ascii="Trebuchet MS" w:eastAsia="Calibri" w:hAnsi="Trebuchet MS"/>
                      <w:sz w:val="20"/>
                    </w:rPr>
                  </w:pPr>
                  <w:proofErr w:type="spellStart"/>
                  <w:r w:rsidRPr="00F45DEA">
                    <w:rPr>
                      <w:rFonts w:ascii="Trebuchet MS" w:eastAsia="Calibri" w:hAnsi="Trebuchet MS"/>
                      <w:sz w:val="20"/>
                    </w:rPr>
                    <w:t>Bellrock</w:t>
                  </w:r>
                  <w:proofErr w:type="spellEnd"/>
                  <w:r w:rsidRPr="00F45DEA">
                    <w:rPr>
                      <w:rFonts w:ascii="Trebuchet MS" w:eastAsia="Calibri" w:hAnsi="Trebuchet MS"/>
                      <w:sz w:val="20"/>
                    </w:rPr>
                    <w:t xml:space="preserve"> Ltd</w:t>
                  </w:r>
                </w:p>
                <w:p w14:paraId="7A434B6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Bevan Brittan LLP</w:t>
                  </w:r>
                </w:p>
                <w:p w14:paraId="02B1AAC2"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Bouygues Energies and Services </w:t>
                  </w:r>
                </w:p>
                <w:p w14:paraId="74F08840"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Bright Network</w:t>
                  </w:r>
                </w:p>
                <w:p w14:paraId="4AA7ECCC"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Browne Jacobson LLP</w:t>
                  </w:r>
                </w:p>
                <w:p w14:paraId="27342E18"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BT Group Plc </w:t>
                  </w:r>
                </w:p>
                <w:p w14:paraId="17D91C59"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Capita Plc</w:t>
                  </w:r>
                </w:p>
                <w:p w14:paraId="7F213CB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Catch 22</w:t>
                  </w:r>
                </w:p>
                <w:p w14:paraId="39228BF9"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CBRE Ltd </w:t>
                  </w:r>
                </w:p>
                <w:p w14:paraId="7D60AD7D"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CGI</w:t>
                  </w:r>
                </w:p>
                <w:p w14:paraId="00EC930B"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CH &amp; Co Group</w:t>
                  </w:r>
                </w:p>
                <w:p w14:paraId="0ED1BF9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Chillblast</w:t>
                  </w:r>
                </w:p>
                <w:p w14:paraId="1FAF352F"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Clyde &amp; Co LLP</w:t>
                  </w:r>
                </w:p>
                <w:p w14:paraId="1F9815B2"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CMS Cameron McKenna Nabarro Olswang LLP</w:t>
                  </w:r>
                </w:p>
                <w:p w14:paraId="2884FFA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Community Models</w:t>
                  </w:r>
                </w:p>
                <w:p w14:paraId="11518646"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Compass Group Plc </w:t>
                  </w:r>
                </w:p>
                <w:p w14:paraId="7F98F545"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Connect Assist </w:t>
                  </w:r>
                </w:p>
                <w:p w14:paraId="2A06455A" w14:textId="77777777" w:rsidR="00F45DEA" w:rsidRPr="00F45DEA" w:rsidRDefault="00F45DEA" w:rsidP="00F45DEA">
                  <w:pPr>
                    <w:pStyle w:val="NoSpacing"/>
                    <w:rPr>
                      <w:rFonts w:ascii="Trebuchet MS" w:eastAsia="Calibri" w:hAnsi="Trebuchet MS"/>
                      <w:sz w:val="20"/>
                    </w:rPr>
                  </w:pPr>
                  <w:proofErr w:type="spellStart"/>
                  <w:r w:rsidRPr="00F45DEA">
                    <w:rPr>
                      <w:rFonts w:ascii="Trebuchet MS" w:eastAsia="Calibri" w:hAnsi="Trebuchet MS"/>
                      <w:sz w:val="20"/>
                    </w:rPr>
                    <w:t>Corndel</w:t>
                  </w:r>
                  <w:proofErr w:type="spellEnd"/>
                  <w:r w:rsidRPr="00F45DEA">
                    <w:rPr>
                      <w:rFonts w:ascii="Trebuchet MS" w:eastAsia="Calibri" w:hAnsi="Trebuchet MS"/>
                      <w:sz w:val="20"/>
                    </w:rPr>
                    <w:t xml:space="preserve"> Ltd </w:t>
                  </w:r>
                </w:p>
                <w:p w14:paraId="4D9F5181"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CSG</w:t>
                  </w:r>
                </w:p>
                <w:p w14:paraId="7406AA76"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Deloitte</w:t>
                  </w:r>
                </w:p>
                <w:p w14:paraId="3EC66096"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DWF LLP</w:t>
                  </w:r>
                </w:p>
                <w:p w14:paraId="5B742DBC" w14:textId="77777777" w:rsidR="00F45DEA" w:rsidRPr="00F45DEA" w:rsidRDefault="00F45DEA" w:rsidP="00F45DEA">
                  <w:pPr>
                    <w:pStyle w:val="NoSpacing"/>
                    <w:rPr>
                      <w:rFonts w:ascii="Trebuchet MS" w:eastAsia="Calibri" w:hAnsi="Trebuchet MS"/>
                      <w:sz w:val="20"/>
                    </w:rPr>
                  </w:pPr>
                  <w:proofErr w:type="spellStart"/>
                  <w:r w:rsidRPr="00F45DEA">
                    <w:rPr>
                      <w:rFonts w:ascii="Trebuchet MS" w:eastAsia="Calibri" w:hAnsi="Trebuchet MS"/>
                      <w:sz w:val="20"/>
                    </w:rPr>
                    <w:t>Elior</w:t>
                  </w:r>
                  <w:proofErr w:type="spellEnd"/>
                  <w:r w:rsidRPr="00F45DEA">
                    <w:rPr>
                      <w:rFonts w:ascii="Trebuchet MS" w:eastAsia="Calibri" w:hAnsi="Trebuchet MS"/>
                      <w:sz w:val="20"/>
                    </w:rPr>
                    <w:t xml:space="preserve"> UK Ltd</w:t>
                  </w:r>
                </w:p>
                <w:p w14:paraId="130B7DEF"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ENGIE UK &amp; Ireland</w:t>
                  </w:r>
                </w:p>
                <w:p w14:paraId="3AEAFE3C"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Eric Wright FM</w:t>
                  </w:r>
                </w:p>
                <w:p w14:paraId="6428176A"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Fujitsu UK </w:t>
                  </w:r>
                </w:p>
                <w:p w14:paraId="7117329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G3 Systems Ltd </w:t>
                  </w:r>
                </w:p>
                <w:p w14:paraId="21FDD3E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G4S Plc</w:t>
                  </w:r>
                </w:p>
                <w:p w14:paraId="21B8271B" w14:textId="77777777" w:rsidR="00F45DEA" w:rsidRPr="00F45DEA" w:rsidRDefault="00F45DEA" w:rsidP="00F45DEA">
                  <w:pPr>
                    <w:pStyle w:val="NoSpacing"/>
                    <w:rPr>
                      <w:rFonts w:ascii="Trebuchet MS" w:eastAsia="Calibri" w:hAnsi="Trebuchet MS"/>
                      <w:sz w:val="20"/>
                    </w:rPr>
                  </w:pPr>
                  <w:proofErr w:type="spellStart"/>
                  <w:r w:rsidRPr="00F45DEA">
                    <w:rPr>
                      <w:rFonts w:ascii="Trebuchet MS" w:eastAsia="Calibri" w:hAnsi="Trebuchet MS"/>
                      <w:sz w:val="20"/>
                    </w:rPr>
                    <w:t>GoodPeople</w:t>
                  </w:r>
                  <w:proofErr w:type="spellEnd"/>
                </w:p>
                <w:p w14:paraId="30C101E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Hinduja Global Solutions</w:t>
                  </w:r>
                </w:p>
                <w:p w14:paraId="77723B7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HP</w:t>
                  </w:r>
                </w:p>
                <w:p w14:paraId="745FB0BF" w14:textId="77777777" w:rsidR="00F45DEA" w:rsidRPr="00F45DEA" w:rsidRDefault="00F45DEA" w:rsidP="00F45DEA">
                  <w:pPr>
                    <w:pStyle w:val="NoSpacing"/>
                    <w:rPr>
                      <w:rFonts w:ascii="Trebuchet MS" w:eastAsia="Calibri" w:hAnsi="Trebuchet MS"/>
                      <w:sz w:val="20"/>
                    </w:rPr>
                  </w:pPr>
                </w:p>
              </w:tc>
              <w:tc>
                <w:tcPr>
                  <w:tcW w:w="4991" w:type="dxa"/>
                </w:tcPr>
                <w:p w14:paraId="160C86E6"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IBM</w:t>
                  </w:r>
                </w:p>
                <w:p w14:paraId="799FF49A"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Incentive FM</w:t>
                  </w:r>
                </w:p>
                <w:p w14:paraId="0877A9FD" w14:textId="77777777" w:rsidR="00F45DEA" w:rsidRPr="00F45DEA" w:rsidRDefault="00F45DEA" w:rsidP="00F45DEA">
                  <w:pPr>
                    <w:pStyle w:val="NoSpacing"/>
                    <w:rPr>
                      <w:rFonts w:ascii="Trebuchet MS" w:eastAsia="Calibri" w:hAnsi="Trebuchet MS"/>
                      <w:sz w:val="20"/>
                    </w:rPr>
                  </w:pPr>
                  <w:proofErr w:type="spellStart"/>
                  <w:r w:rsidRPr="00F45DEA">
                    <w:rPr>
                      <w:rFonts w:ascii="Trebuchet MS" w:eastAsia="Calibri" w:hAnsi="Trebuchet MS"/>
                      <w:sz w:val="20"/>
                    </w:rPr>
                    <w:t>Ingeus</w:t>
                  </w:r>
                  <w:proofErr w:type="spellEnd"/>
                </w:p>
                <w:p w14:paraId="71C11411"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Interserve</w:t>
                  </w:r>
                </w:p>
                <w:p w14:paraId="172BC31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ISS UK Ltd </w:t>
                  </w:r>
                </w:p>
                <w:p w14:paraId="04E921F4"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KBR </w:t>
                  </w:r>
                </w:p>
                <w:p w14:paraId="7EC84F20"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KPMG </w:t>
                  </w:r>
                </w:p>
                <w:p w14:paraId="65907562"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Kier Group Plc </w:t>
                  </w:r>
                </w:p>
                <w:p w14:paraId="71F42D0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Maximus UK Ltd</w:t>
                  </w:r>
                </w:p>
                <w:p w14:paraId="3F7166F9"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Mears Group </w:t>
                  </w:r>
                </w:p>
                <w:p w14:paraId="7C884614"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Mitie  </w:t>
                  </w:r>
                </w:p>
                <w:p w14:paraId="12F5757D"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MTC</w:t>
                  </w:r>
                </w:p>
                <w:p w14:paraId="6DA8F89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NatWest</w:t>
                  </w:r>
                </w:p>
                <w:p w14:paraId="06551A24"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NCG</w:t>
                  </w:r>
                </w:p>
                <w:p w14:paraId="09D8789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OCS Group UK Ltd</w:t>
                  </w:r>
                </w:p>
                <w:p w14:paraId="50965A4C"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P3</w:t>
                  </w:r>
                </w:p>
                <w:p w14:paraId="3312E69C"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Pinsent Masons LLP</w:t>
                  </w:r>
                </w:p>
                <w:p w14:paraId="7725AFB5"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Polar Insight</w:t>
                  </w:r>
                </w:p>
                <w:p w14:paraId="7BD2A611"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Purpose Led Performance</w:t>
                  </w:r>
                </w:p>
                <w:p w14:paraId="5B39C8F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PricewaterhouseCoopers UK </w:t>
                  </w:r>
                </w:p>
                <w:p w14:paraId="52E0AAFD"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Robertson FM</w:t>
                  </w:r>
                </w:p>
                <w:p w14:paraId="100C8946"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Salisbury Group </w:t>
                  </w:r>
                </w:p>
                <w:p w14:paraId="4BFB0258"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Seetec Group Ltd</w:t>
                  </w:r>
                </w:p>
                <w:p w14:paraId="7795C17B"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Serco Group Plc </w:t>
                  </w:r>
                </w:p>
                <w:p w14:paraId="472C91E1"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Sharpe Pritchard LLP</w:t>
                  </w:r>
                </w:p>
                <w:p w14:paraId="13E54AD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Shaw Trust</w:t>
                  </w:r>
                </w:p>
                <w:p w14:paraId="5E75F03A"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Sodexo Ltd </w:t>
                  </w:r>
                </w:p>
                <w:p w14:paraId="6D8DC925"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Sopra Steria Ltd </w:t>
                  </w:r>
                </w:p>
                <w:p w14:paraId="736A75BE"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Space Solutions</w:t>
                  </w:r>
                </w:p>
                <w:p w14:paraId="5633EA0A"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Spend Network</w:t>
                  </w:r>
                </w:p>
                <w:p w14:paraId="20A670C1"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Strictly Education</w:t>
                  </w:r>
                </w:p>
                <w:p w14:paraId="2C405DE7" w14:textId="77777777" w:rsidR="00F45DEA" w:rsidRPr="00F45DEA" w:rsidRDefault="00F45DEA" w:rsidP="00F45DEA">
                  <w:pPr>
                    <w:pStyle w:val="NoSpacing"/>
                    <w:rPr>
                      <w:rFonts w:ascii="Trebuchet MS" w:eastAsia="Calibri" w:hAnsi="Trebuchet MS"/>
                      <w:sz w:val="20"/>
                    </w:rPr>
                  </w:pPr>
                  <w:proofErr w:type="spellStart"/>
                  <w:r w:rsidRPr="00F45DEA">
                    <w:rPr>
                      <w:rFonts w:ascii="Trebuchet MS" w:eastAsia="Calibri" w:hAnsi="Trebuchet MS"/>
                      <w:sz w:val="20"/>
                    </w:rPr>
                    <w:t>TerraQuest</w:t>
                  </w:r>
                  <w:proofErr w:type="spellEnd"/>
                  <w:r w:rsidRPr="00F45DEA">
                    <w:rPr>
                      <w:rFonts w:ascii="Trebuchet MS" w:eastAsia="Calibri" w:hAnsi="Trebuchet MS"/>
                      <w:sz w:val="20"/>
                    </w:rPr>
                    <w:t xml:space="preserve"> Solutions Ltd</w:t>
                  </w:r>
                </w:p>
                <w:p w14:paraId="3C5F2CD4"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The Gap Partnership</w:t>
                  </w:r>
                </w:p>
                <w:p w14:paraId="2A47868D"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 xml:space="preserve">The </w:t>
                  </w:r>
                  <w:proofErr w:type="spellStart"/>
                  <w:r w:rsidRPr="00F45DEA">
                    <w:rPr>
                      <w:rFonts w:ascii="Trebuchet MS" w:eastAsia="Calibri" w:hAnsi="Trebuchet MS"/>
                      <w:sz w:val="20"/>
                    </w:rPr>
                    <w:t>Grichan</w:t>
                  </w:r>
                  <w:proofErr w:type="spellEnd"/>
                  <w:r w:rsidRPr="00F45DEA">
                    <w:rPr>
                      <w:rFonts w:ascii="Trebuchet MS" w:eastAsia="Calibri" w:hAnsi="Trebuchet MS"/>
                      <w:sz w:val="20"/>
                    </w:rPr>
                    <w:t xml:space="preserve"> Partnership</w:t>
                  </w:r>
                </w:p>
                <w:p w14:paraId="15019848"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The Palladium Group</w:t>
                  </w:r>
                </w:p>
                <w:p w14:paraId="793BB973" w14:textId="77777777" w:rsidR="00F45DEA" w:rsidRPr="00F45DEA" w:rsidRDefault="00F45DEA" w:rsidP="00F45DEA">
                  <w:pPr>
                    <w:pStyle w:val="NoSpacing"/>
                    <w:rPr>
                      <w:rFonts w:ascii="Trebuchet MS" w:eastAsia="Calibri" w:hAnsi="Trebuchet MS"/>
                      <w:sz w:val="20"/>
                    </w:rPr>
                  </w:pPr>
                  <w:r w:rsidRPr="00F45DEA">
                    <w:rPr>
                      <w:rFonts w:ascii="Trebuchet MS" w:eastAsia="Calibri" w:hAnsi="Trebuchet MS"/>
                      <w:sz w:val="20"/>
                    </w:rPr>
                    <w:t>The Sustainability Group</w:t>
                  </w:r>
                </w:p>
                <w:p w14:paraId="034672EF" w14:textId="77777777" w:rsidR="00F45DEA" w:rsidRPr="00F45DEA" w:rsidRDefault="00F45DEA" w:rsidP="00F45DEA">
                  <w:pPr>
                    <w:pStyle w:val="NoSpacing"/>
                    <w:rPr>
                      <w:rFonts w:ascii="Trebuchet MS" w:hAnsi="Trebuchet MS"/>
                      <w:sz w:val="20"/>
                    </w:rPr>
                  </w:pPr>
                  <w:proofErr w:type="spellStart"/>
                  <w:r w:rsidRPr="00F45DEA">
                    <w:rPr>
                      <w:rFonts w:ascii="Trebuchet MS" w:eastAsia="Calibri" w:hAnsi="Trebuchet MS"/>
                      <w:sz w:val="20"/>
                    </w:rPr>
                    <w:t>Trowers</w:t>
                  </w:r>
                  <w:proofErr w:type="spellEnd"/>
                  <w:r w:rsidRPr="00F45DEA">
                    <w:rPr>
                      <w:rFonts w:ascii="Trebuchet MS" w:eastAsia="Calibri" w:hAnsi="Trebuchet MS"/>
                      <w:sz w:val="20"/>
                    </w:rPr>
                    <w:t xml:space="preserve"> &amp; </w:t>
                  </w:r>
                  <w:proofErr w:type="spellStart"/>
                  <w:r w:rsidRPr="00F45DEA">
                    <w:rPr>
                      <w:rFonts w:ascii="Trebuchet MS" w:eastAsia="Calibri" w:hAnsi="Trebuchet MS"/>
                      <w:sz w:val="20"/>
                    </w:rPr>
                    <w:t>Hamlins</w:t>
                  </w:r>
                  <w:proofErr w:type="spellEnd"/>
                  <w:r w:rsidRPr="00F45DEA">
                    <w:rPr>
                      <w:rFonts w:ascii="Trebuchet MS" w:eastAsia="Calibri" w:hAnsi="Trebuchet MS"/>
                      <w:sz w:val="20"/>
                    </w:rPr>
                    <w:t xml:space="preserve"> LLP</w:t>
                  </w:r>
                </w:p>
                <w:p w14:paraId="40B3DB91" w14:textId="77777777" w:rsidR="00F45DEA" w:rsidRPr="00F45DEA" w:rsidRDefault="00F45DEA" w:rsidP="00F45DEA">
                  <w:pPr>
                    <w:pStyle w:val="NoSpacing"/>
                    <w:rPr>
                      <w:rFonts w:ascii="Trebuchet MS" w:hAnsi="Trebuchet MS"/>
                      <w:sz w:val="20"/>
                    </w:rPr>
                  </w:pPr>
                  <w:r w:rsidRPr="00F45DEA">
                    <w:rPr>
                      <w:rFonts w:ascii="Trebuchet MS" w:hAnsi="Trebuchet MS"/>
                      <w:sz w:val="20"/>
                    </w:rPr>
                    <w:t>Veolia</w:t>
                  </w:r>
                </w:p>
                <w:p w14:paraId="4EFB31FA" w14:textId="77777777" w:rsidR="00F45DEA" w:rsidRPr="00F45DEA" w:rsidRDefault="00F45DEA" w:rsidP="00F45DEA">
                  <w:pPr>
                    <w:pStyle w:val="NoSpacing"/>
                    <w:rPr>
                      <w:rFonts w:ascii="Trebuchet MS" w:hAnsi="Trebuchet MS"/>
                      <w:sz w:val="20"/>
                    </w:rPr>
                  </w:pPr>
                  <w:r w:rsidRPr="00F45DEA">
                    <w:rPr>
                      <w:rFonts w:ascii="Trebuchet MS" w:hAnsi="Trebuchet MS"/>
                      <w:sz w:val="20"/>
                    </w:rPr>
                    <w:t xml:space="preserve">VINCI Facilities </w:t>
                  </w:r>
                </w:p>
                <w:p w14:paraId="15B92EAC" w14:textId="77777777" w:rsidR="00F45DEA" w:rsidRPr="00F45DEA" w:rsidRDefault="00F45DEA" w:rsidP="00F45DEA">
                  <w:pPr>
                    <w:pStyle w:val="NoSpacing"/>
                    <w:rPr>
                      <w:rFonts w:ascii="Trebuchet MS" w:hAnsi="Trebuchet MS"/>
                      <w:sz w:val="20"/>
                    </w:rPr>
                  </w:pPr>
                  <w:r w:rsidRPr="00F45DEA">
                    <w:rPr>
                      <w:rFonts w:ascii="Trebuchet MS" w:hAnsi="Trebuchet MS"/>
                      <w:sz w:val="20"/>
                    </w:rPr>
                    <w:t>VPS Group</w:t>
                  </w:r>
                </w:p>
                <w:p w14:paraId="7C4030B5" w14:textId="77777777" w:rsidR="00F45DEA" w:rsidRPr="00F45DEA" w:rsidRDefault="00F45DEA" w:rsidP="00F45DEA">
                  <w:pPr>
                    <w:pStyle w:val="NoSpacing"/>
                    <w:rPr>
                      <w:rFonts w:ascii="Trebuchet MS" w:hAnsi="Trebuchet MS"/>
                      <w:sz w:val="20"/>
                    </w:rPr>
                  </w:pPr>
                  <w:r w:rsidRPr="00F45DEA">
                    <w:rPr>
                      <w:rFonts w:ascii="Trebuchet MS" w:hAnsi="Trebuchet MS"/>
                      <w:sz w:val="20"/>
                    </w:rPr>
                    <w:t>Wand Consulting</w:t>
                  </w:r>
                </w:p>
                <w:p w14:paraId="459980BF" w14:textId="77777777" w:rsidR="00F45DEA" w:rsidRPr="00F45DEA" w:rsidRDefault="00F45DEA" w:rsidP="00F45DEA">
                  <w:pPr>
                    <w:pStyle w:val="NoSpacing"/>
                    <w:rPr>
                      <w:rFonts w:ascii="Trebuchet MS" w:hAnsi="Trebuchet MS"/>
                      <w:sz w:val="20"/>
                    </w:rPr>
                  </w:pPr>
                  <w:r w:rsidRPr="00F45DEA">
                    <w:rPr>
                      <w:rFonts w:ascii="Trebuchet MS" w:hAnsi="Trebuchet MS"/>
                      <w:sz w:val="20"/>
                    </w:rPr>
                    <w:t xml:space="preserve">Wates Group </w:t>
                  </w:r>
                </w:p>
                <w:p w14:paraId="2CECF5EE" w14:textId="77777777" w:rsidR="00F45DEA" w:rsidRPr="00F45DEA" w:rsidRDefault="00F45DEA" w:rsidP="00F45DEA">
                  <w:pPr>
                    <w:pStyle w:val="NoSpacing"/>
                    <w:rPr>
                      <w:rFonts w:ascii="Trebuchet MS" w:hAnsi="Trebuchet MS"/>
                      <w:sz w:val="20"/>
                    </w:rPr>
                  </w:pPr>
                  <w:r w:rsidRPr="00F45DEA">
                    <w:rPr>
                      <w:rFonts w:ascii="Trebuchet MS" w:hAnsi="Trebuchet MS"/>
                      <w:sz w:val="20"/>
                    </w:rPr>
                    <w:t>Willmott Dixon</w:t>
                  </w:r>
                </w:p>
                <w:p w14:paraId="19A37D6F" w14:textId="77777777" w:rsidR="00F45DEA" w:rsidRPr="00F45DEA" w:rsidRDefault="00F45DEA" w:rsidP="00F45DEA">
                  <w:pPr>
                    <w:pStyle w:val="NoSpacing"/>
                    <w:rPr>
                      <w:rFonts w:ascii="Trebuchet MS" w:hAnsi="Trebuchet MS"/>
                      <w:b/>
                      <w:sz w:val="20"/>
                    </w:rPr>
                  </w:pPr>
                </w:p>
                <w:p w14:paraId="300FDA3A" w14:textId="77777777" w:rsidR="00F45DEA" w:rsidRPr="00F45DEA" w:rsidRDefault="00F45DEA" w:rsidP="00F45DEA">
                  <w:pPr>
                    <w:pStyle w:val="NoSpacing"/>
                    <w:rPr>
                      <w:rFonts w:ascii="Trebuchet MS" w:eastAsia="Calibri" w:hAnsi="Trebuchet MS"/>
                      <w:b/>
                      <w:sz w:val="20"/>
                    </w:rPr>
                  </w:pPr>
                </w:p>
              </w:tc>
            </w:tr>
          </w:tbl>
          <w:p w14:paraId="36AD18D1" w14:textId="77777777" w:rsidR="00F45DEA" w:rsidRPr="00001754" w:rsidRDefault="00F45DEA" w:rsidP="00E548C4">
            <w:pPr>
              <w:rPr>
                <w:rFonts w:eastAsia="Calibri" w:cs="Univers 55"/>
                <w:b/>
              </w:rPr>
            </w:pPr>
          </w:p>
        </w:tc>
      </w:tr>
    </w:tbl>
    <w:p w14:paraId="426EF624" w14:textId="77777777" w:rsidR="00F45DEA" w:rsidRPr="00F45DEA" w:rsidRDefault="00F45DEA" w:rsidP="00F45DEA"/>
    <w:sectPr w:rsidR="00F45DEA" w:rsidRPr="00F45DEA" w:rsidSect="009376F5">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7732" w14:textId="77777777" w:rsidR="00D52E4D" w:rsidRDefault="00D52E4D" w:rsidP="009376F5">
      <w:pPr>
        <w:spacing w:after="0" w:line="240" w:lineRule="auto"/>
      </w:pPr>
      <w:r>
        <w:separator/>
      </w:r>
    </w:p>
  </w:endnote>
  <w:endnote w:type="continuationSeparator" w:id="0">
    <w:p w14:paraId="696E40EB" w14:textId="77777777" w:rsidR="00D52E4D" w:rsidRDefault="00D52E4D" w:rsidP="0093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9215" w14:textId="77777777" w:rsidR="009376F5" w:rsidRPr="00C677A7" w:rsidRDefault="009376F5" w:rsidP="009376F5">
    <w:pPr>
      <w:pStyle w:val="Footer"/>
      <w:jc w:val="center"/>
      <w:rPr>
        <w:color w:val="006BBC"/>
        <w:sz w:val="16"/>
        <w:szCs w:val="16"/>
      </w:rPr>
    </w:pPr>
    <w:r>
      <w:rPr>
        <w:noProof/>
        <w:lang w:eastAsia="en-GB"/>
      </w:rPr>
      <w:drawing>
        <wp:anchor distT="0" distB="0" distL="114300" distR="114300" simplePos="0" relativeHeight="251661312" behindDoc="0" locked="0" layoutInCell="1" allowOverlap="1" wp14:anchorId="4A3053B0" wp14:editId="0EB5B8BD">
          <wp:simplePos x="0" y="0"/>
          <wp:positionH relativeFrom="column">
            <wp:posOffset>2699385</wp:posOffset>
          </wp:positionH>
          <wp:positionV relativeFrom="paragraph">
            <wp:posOffset>103187</wp:posOffset>
          </wp:positionV>
          <wp:extent cx="142875" cy="142875"/>
          <wp:effectExtent l="0" t="0" r="9525" b="9525"/>
          <wp:wrapNone/>
          <wp:docPr id="3" name="Picture 3" descr="https://pbs.twimg.com/profile_images/2284174758/v65oai7fxn47qv9nec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2284174758/v65oai7fxn47qv9nect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5D76B" w14:textId="6B932A73" w:rsidR="009376F5" w:rsidRDefault="009376F5" w:rsidP="009376F5">
    <w:pPr>
      <w:pStyle w:val="Footer"/>
      <w:ind w:right="1234"/>
      <w:jc w:val="center"/>
      <w:rPr>
        <w:color w:val="002060"/>
        <w:sz w:val="16"/>
        <w:szCs w:val="16"/>
      </w:rPr>
    </w:pPr>
    <w:r>
      <w:rPr>
        <w:color w:val="002060"/>
        <w:sz w:val="16"/>
        <w:szCs w:val="16"/>
      </w:rPr>
      <w:t xml:space="preserve">      </w:t>
    </w:r>
    <w:r w:rsidRPr="001A4409">
      <w:rPr>
        <w:color w:val="002060"/>
        <w:sz w:val="16"/>
        <w:szCs w:val="16"/>
      </w:rPr>
      <w:t xml:space="preserve">W: </w:t>
    </w:r>
    <w:hyperlink r:id="rId2" w:history="1">
      <w:r w:rsidRPr="000679B0">
        <w:rPr>
          <w:rStyle w:val="Hyperlink"/>
          <w:sz w:val="16"/>
          <w:szCs w:val="16"/>
        </w:rPr>
        <w:t>www.bsa-org.com</w:t>
      </w:r>
    </w:hyperlink>
    <w:r>
      <w:rPr>
        <w:color w:val="002060"/>
        <w:sz w:val="16"/>
        <w:szCs w:val="16"/>
      </w:rPr>
      <w:t xml:space="preserve">     </w:t>
    </w:r>
    <w:r w:rsidRPr="00A906A3">
      <w:rPr>
        <w:color w:val="002060"/>
        <w:sz w:val="16"/>
        <w:szCs w:val="16"/>
      </w:rPr>
      <w:t xml:space="preserve">    @THEBSASSOC</w:t>
    </w:r>
  </w:p>
  <w:p w14:paraId="4D05E8A8" w14:textId="23425019" w:rsidR="009376F5" w:rsidRDefault="009376F5" w:rsidP="009376F5">
    <w:pPr>
      <w:pStyle w:val="Footer"/>
      <w:ind w:right="1234"/>
      <w:jc w:val="center"/>
    </w:pPr>
  </w:p>
  <w:p w14:paraId="76BB5C21" w14:textId="77777777" w:rsidR="009376F5" w:rsidRPr="00C677A7" w:rsidRDefault="009376F5" w:rsidP="009376F5">
    <w:pPr>
      <w:pStyle w:val="Footer"/>
      <w:jc w:val="center"/>
      <w:rPr>
        <w:color w:val="002060"/>
        <w:sz w:val="16"/>
        <w:szCs w:val="16"/>
      </w:rPr>
    </w:pPr>
    <w:r w:rsidRPr="00C677A7">
      <w:rPr>
        <w:color w:val="002060"/>
        <w:sz w:val="16"/>
        <w:szCs w:val="16"/>
      </w:rPr>
      <w:t>The Business Services Association Limited is registered in England No. 2834529</w:t>
    </w:r>
  </w:p>
  <w:p w14:paraId="2DDF8830" w14:textId="2356B956" w:rsidR="009376F5" w:rsidRPr="009376F5" w:rsidRDefault="009376F5" w:rsidP="009376F5">
    <w:pPr>
      <w:pStyle w:val="Footer"/>
      <w:jc w:val="center"/>
      <w:rPr>
        <w:color w:val="002060"/>
        <w:sz w:val="16"/>
        <w:szCs w:val="16"/>
      </w:rPr>
    </w:pPr>
    <w:r w:rsidRPr="00C677A7">
      <w:rPr>
        <w:color w:val="002060"/>
        <w:sz w:val="16"/>
        <w:szCs w:val="16"/>
      </w:rPr>
      <w:t>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F6DF1" w14:textId="77777777" w:rsidR="00D52E4D" w:rsidRDefault="00D52E4D" w:rsidP="009376F5">
      <w:pPr>
        <w:spacing w:after="0" w:line="240" w:lineRule="auto"/>
      </w:pPr>
      <w:r>
        <w:separator/>
      </w:r>
    </w:p>
  </w:footnote>
  <w:footnote w:type="continuationSeparator" w:id="0">
    <w:p w14:paraId="64DFAAE0" w14:textId="77777777" w:rsidR="00D52E4D" w:rsidRDefault="00D52E4D" w:rsidP="00937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FBED" w14:textId="1E771FAE" w:rsidR="009376F5" w:rsidRDefault="009376F5">
    <w:pPr>
      <w:pStyle w:val="Header"/>
    </w:pPr>
    <w:r>
      <w:rPr>
        <w:noProof/>
        <w:lang w:eastAsia="en-GB"/>
      </w:rPr>
      <w:drawing>
        <wp:anchor distT="0" distB="0" distL="114300" distR="114300" simplePos="0" relativeHeight="251663360" behindDoc="0" locked="0" layoutInCell="1" allowOverlap="1" wp14:anchorId="07DF69B8" wp14:editId="70481648">
          <wp:simplePos x="0" y="0"/>
          <wp:positionH relativeFrom="margin">
            <wp:align>center</wp:align>
          </wp:positionH>
          <wp:positionV relativeFrom="margin">
            <wp:posOffset>-1594485</wp:posOffset>
          </wp:positionV>
          <wp:extent cx="1523365" cy="14097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Twitt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1409700"/>
                  </a:xfrm>
                  <a:prstGeom prst="rect">
                    <a:avLst/>
                  </a:prstGeom>
                </pic:spPr>
              </pic:pic>
            </a:graphicData>
          </a:graphic>
          <wp14:sizeRelH relativeFrom="margin">
            <wp14:pctWidth>0</wp14:pctWidth>
          </wp14:sizeRelH>
          <wp14:sizeRelV relativeFrom="margin">
            <wp14:pctHeight>0</wp14:pctHeight>
          </wp14:sizeRelV>
        </wp:anchor>
      </w:drawing>
    </w:r>
  </w:p>
  <w:p w14:paraId="18977E95" w14:textId="77777777" w:rsidR="009376F5" w:rsidRDefault="009376F5">
    <w:pPr>
      <w:pStyle w:val="Header"/>
    </w:pPr>
  </w:p>
  <w:p w14:paraId="53F9384E" w14:textId="2767FE36" w:rsidR="009376F5" w:rsidRDefault="009376F5">
    <w:pPr>
      <w:pStyle w:val="Header"/>
    </w:pPr>
  </w:p>
  <w:p w14:paraId="4F250B7F" w14:textId="77777777" w:rsidR="009376F5" w:rsidRDefault="009376F5">
    <w:pPr>
      <w:pStyle w:val="Header"/>
    </w:pPr>
  </w:p>
  <w:p w14:paraId="670ABE54" w14:textId="77777777" w:rsidR="009376F5" w:rsidRDefault="009376F5">
    <w:pPr>
      <w:pStyle w:val="Header"/>
    </w:pPr>
  </w:p>
  <w:p w14:paraId="573F1295" w14:textId="77777777" w:rsidR="009376F5" w:rsidRDefault="009376F5">
    <w:pPr>
      <w:pStyle w:val="Header"/>
    </w:pPr>
  </w:p>
  <w:p w14:paraId="60E4588F" w14:textId="08EDC195" w:rsidR="009376F5" w:rsidRDefault="009376F5">
    <w:pPr>
      <w:pStyle w:val="Header"/>
    </w:pPr>
  </w:p>
  <w:p w14:paraId="2428146C" w14:textId="30A43BEB" w:rsidR="009376F5" w:rsidRDefault="009376F5">
    <w:pPr>
      <w:pStyle w:val="Header"/>
    </w:pPr>
  </w:p>
  <w:p w14:paraId="279B6131" w14:textId="77777777" w:rsidR="009376F5" w:rsidRDefault="0093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8217" w14:textId="77777777" w:rsidR="009376F5" w:rsidRDefault="009376F5" w:rsidP="009376F5">
    <w:pPr>
      <w:pStyle w:val="Header"/>
      <w:ind w:right="95"/>
    </w:pPr>
    <w:r>
      <w:rPr>
        <w:noProof/>
        <w:lang w:eastAsia="en-GB"/>
      </w:rPr>
      <w:drawing>
        <wp:anchor distT="0" distB="0" distL="114300" distR="114300" simplePos="0" relativeHeight="251659264" behindDoc="0" locked="0" layoutInCell="1" allowOverlap="1" wp14:anchorId="7AF0DAA0" wp14:editId="17F2F379">
          <wp:simplePos x="0" y="0"/>
          <wp:positionH relativeFrom="margin">
            <wp:align>center</wp:align>
          </wp:positionH>
          <wp:positionV relativeFrom="margin">
            <wp:posOffset>-2447290</wp:posOffset>
          </wp:positionV>
          <wp:extent cx="1523365" cy="1409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Twitt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1409700"/>
                  </a:xfrm>
                  <a:prstGeom prst="rect">
                    <a:avLst/>
                  </a:prstGeom>
                </pic:spPr>
              </pic:pic>
            </a:graphicData>
          </a:graphic>
          <wp14:sizeRelH relativeFrom="margin">
            <wp14:pctWidth>0</wp14:pctWidth>
          </wp14:sizeRelH>
          <wp14:sizeRelV relativeFrom="margin">
            <wp14:pctHeight>0</wp14:pctHeight>
          </wp14:sizeRelV>
        </wp:anchor>
      </w:drawing>
    </w:r>
  </w:p>
  <w:p w14:paraId="2DD26A53" w14:textId="77777777" w:rsidR="009376F5" w:rsidRDefault="009376F5" w:rsidP="009376F5">
    <w:pPr>
      <w:pStyle w:val="Footer"/>
      <w:ind w:right="1234"/>
      <w:jc w:val="right"/>
      <w:rPr>
        <w:color w:val="002060"/>
      </w:rPr>
    </w:pPr>
  </w:p>
  <w:p w14:paraId="7C45ADF1" w14:textId="77777777" w:rsidR="009376F5" w:rsidRDefault="009376F5" w:rsidP="009376F5">
    <w:pPr>
      <w:pStyle w:val="Footer"/>
      <w:ind w:right="1234"/>
      <w:jc w:val="right"/>
      <w:rPr>
        <w:color w:val="002060"/>
      </w:rPr>
    </w:pPr>
  </w:p>
  <w:p w14:paraId="182EF4CF" w14:textId="77777777" w:rsidR="009376F5" w:rsidRDefault="009376F5" w:rsidP="009376F5">
    <w:pPr>
      <w:pStyle w:val="Footer"/>
      <w:ind w:right="1234"/>
      <w:jc w:val="right"/>
      <w:rPr>
        <w:color w:val="002060"/>
      </w:rPr>
    </w:pPr>
  </w:p>
  <w:p w14:paraId="5C725F39" w14:textId="77777777" w:rsidR="009376F5" w:rsidRDefault="009376F5" w:rsidP="009376F5">
    <w:pPr>
      <w:pStyle w:val="Footer"/>
      <w:ind w:right="1234"/>
      <w:jc w:val="right"/>
      <w:rPr>
        <w:color w:val="002060"/>
      </w:rPr>
    </w:pPr>
  </w:p>
  <w:p w14:paraId="2ABBE620" w14:textId="77777777" w:rsidR="009376F5" w:rsidRDefault="009376F5" w:rsidP="009376F5">
    <w:pPr>
      <w:pStyle w:val="Footer"/>
      <w:ind w:right="1234"/>
      <w:jc w:val="right"/>
      <w:rPr>
        <w:color w:val="002060"/>
      </w:rPr>
    </w:pPr>
  </w:p>
  <w:p w14:paraId="057819FE" w14:textId="77777777" w:rsidR="009376F5" w:rsidRDefault="009376F5" w:rsidP="009376F5">
    <w:pPr>
      <w:pStyle w:val="Footer"/>
      <w:ind w:right="1234"/>
      <w:jc w:val="right"/>
      <w:rPr>
        <w:color w:val="002060"/>
      </w:rPr>
    </w:pPr>
  </w:p>
  <w:p w14:paraId="7775B00E" w14:textId="77777777" w:rsidR="009376F5" w:rsidRDefault="009376F5" w:rsidP="009376F5">
    <w:pPr>
      <w:pStyle w:val="Footer"/>
      <w:ind w:right="1234"/>
      <w:rPr>
        <w:color w:val="002060"/>
      </w:rPr>
    </w:pPr>
  </w:p>
  <w:p w14:paraId="13BD4365" w14:textId="77777777" w:rsidR="009376F5" w:rsidRDefault="009376F5" w:rsidP="009376F5">
    <w:pPr>
      <w:pStyle w:val="Footer"/>
      <w:tabs>
        <w:tab w:val="clear" w:pos="9026"/>
        <w:tab w:val="right" w:pos="8647"/>
      </w:tabs>
      <w:ind w:right="-46"/>
      <w:rPr>
        <w:color w:val="002060"/>
      </w:rPr>
    </w:pPr>
  </w:p>
  <w:p w14:paraId="78F00A42" w14:textId="1D7B06B6" w:rsidR="009376F5" w:rsidRDefault="009376F5" w:rsidP="009376F5">
    <w:pPr>
      <w:pStyle w:val="Footer"/>
      <w:tabs>
        <w:tab w:val="clear" w:pos="9026"/>
        <w:tab w:val="right" w:pos="8647"/>
      </w:tabs>
      <w:ind w:right="-46"/>
      <w:jc w:val="center"/>
    </w:pPr>
    <w:r w:rsidRPr="00A35ABC">
      <w:rPr>
        <w:color w:val="002060"/>
      </w:rPr>
      <w:t>The Business Services Association</w:t>
    </w:r>
    <w:r w:rsidRPr="00A35ABC">
      <w:rPr>
        <w:b/>
        <w:color w:val="002060"/>
      </w:rPr>
      <w:br/>
    </w:r>
    <w:r w:rsidRPr="00A35ABC">
      <w:rPr>
        <w:color w:val="002060"/>
      </w:rPr>
      <w:t xml:space="preserve">130 Fleet Street, </w:t>
    </w:r>
    <w:r w:rsidRPr="00A35ABC">
      <w:rPr>
        <w:color w:val="002060"/>
      </w:rPr>
      <w:br/>
      <w:t xml:space="preserve">London. </w:t>
    </w:r>
    <w:r w:rsidRPr="00A35ABC">
      <w:rPr>
        <w:color w:val="002060"/>
      </w:rPr>
      <w:br/>
    </w:r>
    <w:r>
      <w:rPr>
        <w:color w:val="002060"/>
      </w:rPr>
      <w:t>EC4A 2BH</w:t>
    </w:r>
  </w:p>
  <w:p w14:paraId="2BC68BE0" w14:textId="77777777" w:rsidR="009376F5" w:rsidRDefault="009376F5" w:rsidP="009376F5">
    <w:pPr>
      <w:pStyle w:val="Header"/>
    </w:pPr>
  </w:p>
  <w:p w14:paraId="4B431A4A" w14:textId="77777777" w:rsidR="009376F5" w:rsidRPr="009376F5" w:rsidRDefault="009376F5">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F5"/>
    <w:rsid w:val="001B4A10"/>
    <w:rsid w:val="00216958"/>
    <w:rsid w:val="008828DC"/>
    <w:rsid w:val="009376F5"/>
    <w:rsid w:val="00AA38C0"/>
    <w:rsid w:val="00BA749E"/>
    <w:rsid w:val="00BB7732"/>
    <w:rsid w:val="00D52E4D"/>
    <w:rsid w:val="00DB0D40"/>
    <w:rsid w:val="00F4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4B076"/>
  <w15:chartTrackingRefBased/>
  <w15:docId w15:val="{D33F8792-6988-42F4-86BA-ED49712F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F5"/>
  </w:style>
  <w:style w:type="paragraph" w:styleId="Footer">
    <w:name w:val="footer"/>
    <w:basedOn w:val="Normal"/>
    <w:link w:val="FooterChar"/>
    <w:unhideWhenUsed/>
    <w:rsid w:val="009376F5"/>
    <w:pPr>
      <w:tabs>
        <w:tab w:val="center" w:pos="4513"/>
        <w:tab w:val="right" w:pos="9026"/>
      </w:tabs>
      <w:spacing w:after="0" w:line="240" w:lineRule="auto"/>
    </w:pPr>
  </w:style>
  <w:style w:type="character" w:customStyle="1" w:styleId="FooterChar">
    <w:name w:val="Footer Char"/>
    <w:basedOn w:val="DefaultParagraphFont"/>
    <w:link w:val="Footer"/>
    <w:rsid w:val="009376F5"/>
  </w:style>
  <w:style w:type="table" w:styleId="TableGrid">
    <w:name w:val="Table Grid"/>
    <w:uiPriority w:val="59"/>
    <w:rsid w:val="009376F5"/>
    <w:pPr>
      <w:spacing w:after="0" w:line="300" w:lineRule="atLeast"/>
      <w:jc w:val="left"/>
    </w:pPr>
    <w:rPr>
      <w:rFonts w:ascii="Times New Roman" w:eastAsia="Times New Roman" w:hAnsi="Times New Roman" w:cs="Times New Roman"/>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Normal">
    <w:name w:val="CMS AN Normal"/>
    <w:uiPriority w:val="22"/>
    <w:rsid w:val="009376F5"/>
    <w:pPr>
      <w:spacing w:after="0" w:line="300" w:lineRule="atLeast"/>
    </w:pPr>
    <w:rPr>
      <w:rFonts w:ascii="Times New Roman" w:hAnsi="Times New Roman"/>
      <w:color w:val="000000" w:themeColor="text1"/>
      <w:sz w:val="22"/>
      <w:szCs w:val="22"/>
    </w:rPr>
  </w:style>
  <w:style w:type="character" w:styleId="Hyperlink">
    <w:name w:val="Hyperlink"/>
    <w:basedOn w:val="DefaultParagraphFont"/>
    <w:uiPriority w:val="99"/>
    <w:unhideWhenUsed/>
    <w:rsid w:val="009376F5"/>
    <w:rPr>
      <w:color w:val="0563C1" w:themeColor="hyperlink"/>
      <w:u w:val="single"/>
    </w:rPr>
  </w:style>
  <w:style w:type="paragraph" w:styleId="NoSpacing">
    <w:name w:val="No Spacing"/>
    <w:uiPriority w:val="1"/>
    <w:qFormat/>
    <w:rsid w:val="00F45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sa-org.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Neill</dc:creator>
  <cp:keywords/>
  <dc:description/>
  <cp:lastModifiedBy>Piers Neill</cp:lastModifiedBy>
  <cp:revision>5</cp:revision>
  <dcterms:created xsi:type="dcterms:W3CDTF">2020-10-07T13:20:00Z</dcterms:created>
  <dcterms:modified xsi:type="dcterms:W3CDTF">2020-10-07T16:08:00Z</dcterms:modified>
</cp:coreProperties>
</file>